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133 GewO — Befugnis zur Führung des Baumeistertitels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 zur Führung des Meistertitels in Verbindung mit einer anderen Bezeichnung, die auf eine Tätigkeit im Baugewerbe hinweist, insbesondere des Titels Baumeister und Baugewerksmeister, wird durch Rechtsverordnung der Bundesregierung*) mit Zustimmung des Bundesrates geregelt. -----</w:t>
      </w:r>
    </w:p>
    <w:p>
      <w:pPr>
        <w:ind w:left="420"/>
      </w:pPr>
      <w:r>
        <w:t xml:space="preserve">*) Zuständige Stelle gemäß Artikel 129 Abs. 1 Satz 1 des Grundgesetzes.</w:t>
      </w:r>
    </w:p>
    <w:p>
      <w:r>
        <w:rPr>
          <w:color w:val="555555"/>
          <w:sz w:val="17"/>
        </w:rPr>
        <w:t xml:space="preserve">Zitiervorschlag: § 133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