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GewO — Insolvenzverfahren und Restrukturierungssachen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Vorschriften, welche die Untersagung eines Gewerbes oder die Rücknahme oder den Widerruf einer Zulassung wegen Unzuverlässigkeit des Gewerbetreibenden, die auf ungeordnete Vermögensverhältnisse zurückzuführen ist, ermöglichen, sind während der Zeit</w:t>
      </w:r>
    </w:p>
    <w:p>
      <w:pPr>
        <w:ind w:left="420"/>
      </w:pPr>
      <w:r>
        <w:t xml:space="preserve">1. eines Insolvenzverfahrens,</w:t>
      </w:r>
    </w:p>
    <w:p>
      <w:pPr>
        <w:ind w:left="420"/>
      </w:pPr>
      <w:r>
        <w:t xml:space="preserve">2. in der Sicherungsmaßnahmen nach § 21 der Insolvenzordnung angeordnet sind,</w:t>
      </w:r>
    </w:p>
    <w:p>
      <w:pPr>
        <w:ind w:left="420"/>
      </w:pPr>
      <w:r>
        <w:t xml:space="preserve">3. der Überwachung der Erfüllung eines Insolvenzplans (§ 260 der Insolvenzordnung) oder</w:t>
      </w:r>
    </w:p>
    <w:p>
      <w:pPr>
        <w:ind w:left="420"/>
      </w:pPr>
      <w:r>
        <w:t xml:space="preserve">4. in der in einem Stabilisierungs- und Restrukturierungsrahmen ein Restrukturierungsbeauftragter bestellt ist, eine Stabilisierungsanordnung wirksam ist oder dem Restrukturierungsgericht ein Restrukturierungsplan zur Vorprüfung, zur Anberaumung eines gerichtlichen Erörterungs- und Abstimmungstermins oder zur Bestätigung vorliegt,</w:t>
      </w:r>
    </w:p>
    <w:p>
      <w:r>
        <w:t xml:space="preserve">nicht anzuwenden in Bezug auf das Gewerbe, das zur Zeit des Antrags auf Eröffnung des Insolvenzverfahrens oder des Antrags auf Anordnung des Restrukturierungs- oder Stabilisierungsinstruments ausgeübt wurde. Dies gilt nicht für eine nach § 35 Absatz 2 Satz 1 oder Absatz 3 der Insolvenzordnung freigegebene selbstständige Tätigkeit des Gewerbetreibenden, wenn dessen Unzuverlässigkeit mit Tatsachen begründet wird, die nach der Freigabe eingetreten sind.</w:t>
      </w:r>
    </w:p>
    <w:p>
      <w:r>
        <w:rPr>
          <w:color w:val="555555"/>
          <w:sz w:val="17"/>
        </w:rPr>
        <w:t xml:space="preserve">Zitiervorschlag: § 12 GewO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https://recht.nulegal.eu/gesetze/GewO/12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