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111 GewO — Pflichtfortbildungen</w:t>
      </w:r>
    </w:p>
    <w:p>
      <w:r>
        <w:rPr>
          <w:color w:val="555555"/>
          <w:sz w:val="18"/>
        </w:rPr>
        <w:t xml:space="preserve">Gewerbeordnung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Ist der Arbeitgeber durch Gesetz oder aufgrund eines Gesetzes, durch Tarifvertrag oder Betriebs- oder Dienstvereinbarung verpflichtet, dem Arbeitnehmer eine für die Erbringung der Arbeitsleistung erforderliche Fortbildung anzubieten, dürfen dem Arbeitnehmer die Kosten hierfür nicht auferlegt werden.</w:t>
      </w:r>
    </w:p>
    <w:p>
      <w:r>
        <w:t xml:space="preserve">(2) Fortbildungen nach Absatz 1 sollen während der regelmäßigen Arbeitszeit durchgeführt werden. Soweit Fortbildungen nach Absatz 1 außerhalb der regelmäßigen Arbeitszeit durchgeführt werden müssen, gelten sie als Arbeitszeit.</w:t>
      </w:r>
    </w:p>
    <w:p>
      <w:r>
        <w:rPr>
          <w:color w:val="555555"/>
          <w:sz w:val="17"/>
        </w:rPr>
        <w:t xml:space="preserve">Zitiervorschlag: § 111 GewO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https://recht.nulegal.eu/gesetze/GewO/111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