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GewO — Freie Gestaltung des Arbeitsvertrages</w:t>
      </w:r>
    </w:p>
    <w:p>
      <w:r>
        <w:rPr>
          <w:color w:val="555555"/>
          <w:sz w:val="18"/>
        </w:rPr>
        <w:t xml:space="preserve">Gewerbeordnung</w:t>
      </w:r>
    </w:p>
    <w:p>
      <w:r>
        <w:rPr>
          <w:color w:val="555555"/>
          <w:sz w:val="18"/>
        </w:rPr>
        <w:t xml:space="preserve">Stand: 10.06.2019 (konsolidierte Textfassung, kein amtliches Inkrafttretensdatum)</w:t>
      </w:r>
    </w:p>
    <w:p>
      <w:r>
        <w:t xml:space="preserve">Arbeitgeber und Arbeitnehmer können Abschluss, Inhalt und Form des Arbeitsvertrages frei vereinbaren, soweit nicht zwingende gesetzliche Vorschriften, Bestimmungen eines anwendbaren Tarifvertrages oder einer Betriebsvereinbarung entgegenstehen. Soweit die Vertragsbedingungen wesentlich sind, richtet sich ihr Nachweis nach den Bestimmungen des Nachweisgesetzes.</w:t>
      </w:r>
    </w:p>
    <w:p>
      <w:r>
        <w:rPr>
          <w:color w:val="555555"/>
          <w:sz w:val="17"/>
        </w:rPr>
        <w:t xml:space="preserve">Zitiervorschlag: § 105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