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GewO§34cDV — Berlin-Klausel</w:t>
      </w:r>
    </w:p>
    <w:p>
      <w:r>
        <w:rPr>
          <w:color w:val="555555"/>
          <w:sz w:val="18"/>
        </w:rPr>
        <w:t xml:space="preserve">Makler- und Bauträgerverordnung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(gegenstandslos)</w:t>
      </w:r>
    </w:p>
    <w:p>
      <w:r>
        <w:rPr>
          <w:color w:val="555555"/>
          <w:sz w:val="17"/>
        </w:rPr>
        <w:t xml:space="preserve">Zitiervorschlag: § 21 GewO§34cDV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https://recht.nulegal.eu/gesetze/GewO%C2%A734cDV/21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