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GewO§34cDV — Anwendungsbereich</w:t>
      </w:r>
    </w:p>
    <w:p>
      <w:r>
        <w:rPr>
          <w:color w:val="555555"/>
          <w:sz w:val="18"/>
        </w:rPr>
        <w:t xml:space="preserve">Makler- und Bauträgerverordnung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 Verordnung gilt für Gewerbetreibende, die Tätigkeiten nach § 34c Absatz 1 der Gewerbeordnung ausüben, unabhängig vom Bestehen einer Erlaubnispflicht.</w:t>
      </w:r>
    </w:p>
    <w:p>
      <w:r>
        <w:t xml:space="preserve">(2) Diese Verordnung gilt nicht, soweit § 34c Absatz 5 der Gewerbeordnung anzuwenden ist. Sie gilt zudem nicht für Gewerbetreibende, die als Wohnimmobilienverwalter nach § 34c Absatz 1 Satz 1 Nummer 4 der Gewerbeordnung tätig sind, mit Ausnahme der §§ 11, 15 bis 15b, 18 Absatz 1 Nummer 7, 9 und 10, Absatz 2 und 3 sowie § 19 dieser Verordnung.</w:t>
      </w:r>
    </w:p>
    <w:p>
      <w:r>
        <w:rPr>
          <w:color w:val="555555"/>
          <w:sz w:val="17"/>
        </w:rPr>
        <w:t xml:space="preserve">Zitiervorschlag: § 1 GewO§34cDV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https://recht.nulegal.eu/gesetze/GewO%C2%A734cDV/1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