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GewBezG — Bußgeldvorschrift</w:t>
      </w:r>
    </w:p>
    <w:p>
      <w:r>
        <w:rPr>
          <w:color w:val="555555"/>
          <w:sz w:val="18"/>
        </w:rPr>
        <w:t xml:space="preserve">Gesetz über die Gewichtsbezeichnung an schweren, auf Schiffen beförderten Frachtstücken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entgegen § 1 die vorgeschriebene Gewichtsbezeichnung nicht anbringt.</w:t>
      </w:r>
    </w:p>
    <w:p>
      <w:r>
        <w:t xml:space="preserve">(2) Die Ordnungswidrigkeit kann mit einer Geldbuße geahndet werden.</w:t>
      </w:r>
    </w:p>
    <w:p>
      <w:r>
        <w:rPr>
          <w:color w:val="555555"/>
          <w:sz w:val="17"/>
        </w:rPr>
        <w:t xml:space="preserve">Zitiervorschlag: § 3a GewBezG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https://recht.nulegal.eu/gesetze/GewBezG/3a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