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GewAnzV 2014</w:t>
      </w:r>
    </w:p>
    <w:p>
      <w:r>
        <w:rPr>
          <w:color w:val="555555"/>
          <w:sz w:val="18"/>
        </w:rPr>
        <w:t xml:space="preserve">Gewerbeanzeigeverordnung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verordnet auf Grund des § 14 Absatz 14 der Gewerbeordnung, der durch Artikel 1 Nummer 2 Buchstabe g des Gesetzes vom 11. Juli 2011 (BGBl. I S. 1341) eingefügt worden ist, in Verbindung mit § 1 Absatz 2 des Zuständigkeitsanpassungsgesetzes vom 16. August 2002 (BGBl. I S. 3165) und dem Organisationserlass vom 17. Dezember 2013 (BGBl. I S. 4310):</w:t>
      </w:r>
    </w:p>
    <w:p>
      <w:r>
        <w:rPr>
          <w:color w:val="555555"/>
          <w:sz w:val="17"/>
        </w:rPr>
        <w:t xml:space="preserve">Zitiervorschlag: Eingangsformel GewAnzV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https://recht.nulegal.eu/gesetze/GewAnzV%202014/eingangsformel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