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GewAnzV 2014 — Inkrafttreten</w:t>
      </w:r>
    </w:p>
    <w:p>
      <w:r>
        <w:rPr>
          <w:color w:val="555555"/>
          <w:sz w:val="18"/>
        </w:rPr>
        <w:t xml:space="preserve">Gewerbeanzeigeverordnung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vorbehaltlich des Satzes 2 am 1. Januar 2015 in Kraft. § 3 Absatz 4 und 5 treten am 1. Januar 2016 in Kraft.</w:t>
      </w:r>
    </w:p>
    <w:p>
      <w:r>
        <w:rPr>
          <w:color w:val="555555"/>
          <w:sz w:val="17"/>
        </w:rPr>
        <w:t xml:space="preserve">Zitiervorschlag: § 4 GewAnzV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https://recht.nulegal.eu/gesetze/GewAnzV%202014/4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