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GewAbfV 2017</w:t>
      </w:r>
    </w:p>
    <w:p>
      <w:r>
        <w:rPr>
          <w:color w:val="555555"/>
          <w:sz w:val="18"/>
        </w:rPr>
        <w:t xml:space="preserve">Gewerbeabfallverordnung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8 Absatz 2 Satz 1 Nummer 2 und des § 65 Absatz 2 des Kreislaufwirtschaftsgesetzes vom 24. Februar 2012 (BGBl. I S. 212) nach Anhörung der beteiligten Kreise und unter Wahrung der Rechte des Deutschen Bundestages und</w:t>
      </w:r>
    </w:p>
    <w:p>
      <w:pPr>
        <w:ind w:left="420"/>
      </w:pPr>
      <w:r>
        <w:t xml:space="preserve">– des § 10 Absatz 1 Nummer 2 und 3 und Absatz 2 Nummer 1 bis 4 sowie des § 16 Satz 1 Nummer 2 des Kreislaufwirtschaftsgesetzes nach Anhörung der beteiligten Kreise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GewAbfV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https://recht.nulegal.eu/gesetze/GewAbfV%202017/eingangsformel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