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GewAbfV 2017 — Getrennte Sammlung, Vorbereitung zur Wiederverwendung und Recycling von bestimmten Bau- und Abbruchabfällen</w:t>
      </w:r>
    </w:p>
    <w:p>
      <w:r>
        <w:rPr>
          <w:color w:val="555555"/>
          <w:sz w:val="18"/>
        </w:rPr>
        <w:t xml:space="preserve">Gewerbeabfallverordnung</w:t>
      </w:r>
    </w:p>
    <w:p>
      <w:r>
        <w:rPr>
          <w:color w:val="555555"/>
          <w:sz w:val="18"/>
        </w:rPr>
        <w:t xml:space="preserve">Stand: 01.08.2023 (konsolidierte Textfassung, kein amtliches Inkrafttretensdatum)</w:t>
      </w:r>
    </w:p>
    <w:p>
      <w:r>
        <w:t xml:space="preserve">(1) Erzeuger und Besitzer von Bau- und Abbruchabfällen haben die folgenden Abfallfraktionen jeweils getrennt zu sammeln, zu befördern und nach Maßgabe des § 8 Absatz 1 und § 9 Absatz 4 des Kreislaufwirtschaftsgesetzes vorrangig der Vorbereitung zur Wiederverwendung oder dem Recycling zuzuführen:</w:t>
      </w:r>
    </w:p>
    <w:p>
      <w:pPr>
        <w:ind w:left="420"/>
      </w:pPr>
      <w:r>
        <w:t xml:space="preserve">1. Glas (Abfallschlüssel 17 02 02),</w:t>
      </w:r>
    </w:p>
    <w:p>
      <w:pPr>
        <w:ind w:left="420"/>
      </w:pPr>
      <w:r>
        <w:t xml:space="preserve">2. Kunststoff (Abfallschlüssel 17 02 03),</w:t>
      </w:r>
    </w:p>
    <w:p>
      <w:pPr>
        <w:ind w:left="420"/>
      </w:pPr>
      <w:r>
        <w:t xml:space="preserve">3. Metalle, einschließlich Legierungen (Abfallschlüssel 17 04 01 bis 17 04 07 und 17 04 11),</w:t>
      </w:r>
    </w:p>
    <w:p>
      <w:pPr>
        <w:ind w:left="420"/>
      </w:pPr>
      <w:r>
        <w:t xml:space="preserve">4. Holz (Abfallschlüssel 17 02 01),</w:t>
      </w:r>
    </w:p>
    <w:p>
      <w:pPr>
        <w:ind w:left="420"/>
      </w:pPr>
      <w:r>
        <w:t xml:space="preserve">5. Dämmmaterial (Abfallschlüssel 17 06 04),</w:t>
      </w:r>
    </w:p>
    <w:p>
      <w:pPr>
        <w:ind w:left="420"/>
      </w:pPr>
      <w:r>
        <w:t xml:space="preserve">6. Bitumengemische (Abfallschlüssel 17 03 02),</w:t>
      </w:r>
    </w:p>
    <w:p>
      <w:pPr>
        <w:ind w:left="420"/>
      </w:pPr>
      <w:r>
        <w:t xml:space="preserve">7. Baustoffe auf Gipsbasis (Abfallschlüssel 17 08 02),</w:t>
      </w:r>
    </w:p>
    <w:p>
      <w:pPr>
        <w:ind w:left="420"/>
      </w:pPr>
      <w:r>
        <w:t xml:space="preserve">8. Beton (Abfallschlüssel 17 01 01),</w:t>
      </w:r>
    </w:p>
    <w:p>
      <w:pPr>
        <w:ind w:left="420"/>
      </w:pPr>
      <w:r>
        <w:t xml:space="preserve">9. Ziegel (Abfallschlüssel 17 01 02) und</w:t>
      </w:r>
    </w:p>
    <w:p>
      <w:pPr>
        <w:ind w:left="420"/>
      </w:pPr>
      <w:r>
        <w:t xml:space="preserve">10. Fliesen und Keramik (Abfallschlüssel 17 01 03).</w:t>
      </w:r>
    </w:p>
    <w:p>
      <w:r>
        <w:t xml:space="preserve">Erzeuger und Besitzer von Bau- und Abbruchabfällen können eine getrennte Sammlung weiterer Abfallfraktionen und eine weitergehende getrennte Sammlung innerhalb der in Satz 1 genannten Abfallfraktionen vornehmen. Das Vermischungsverbot für gefährliche Abfälle des § 9a des Kreislaufwirtschaftsgesetzes auch in Verbindung mit § 15 Absatz 3 Satz 2 des Kreislaufwirtschaftsgesetzes bleibt unberührt.</w:t>
      </w:r>
    </w:p>
    <w:p>
      <w:r>
        <w:t xml:space="preserve">(1a) Soweit beim Rückbau, bei der Sanierung oder bei der Reparatur technischer Bauwerke Stoffe nach § 2 Nummer 18 bis 29 und 32 der Ersatzbaustoffverordnung vom 9. Juli 2021 (BGBl. I S. 2598) als Abfälle anfallen, gilt für die Getrenntsammlung, die Vorbereitung zur Wiederverwendung und das Recycling dieser Abfälle ausschließlich § 24 der Ersatzbaustoffverordnung.</w:t>
      </w:r>
    </w:p>
    <w:p>
      <w:r>
        <w:t xml:space="preserve">(2) Die Pflichten nach Absatz 1 Satz 1 entfallen, soweit die getrennte Sammlung der jeweiligen Abfallfraktion technisch nicht möglich oder wirtschaftlich nicht zumutbar ist. Technisch nicht möglich ist die getrennte Sammlung insbesondere dann, wenn für eine Aufstellung der Abfallbehälter für die getrennte Sammlung nicht genug Platz zur Verfügung steht. Die getrennte Sammlung der in Absatz 1 Satz 1 Nummer 8, 9 und 10 genannten mineralischen Abfälle ist insbesondere auch dann technisch nicht möglich, wenn sie aus rückbaustatischen oder rückbautechnischen Gründen ausscheidet. Die getrennte Sammlung ist dann wirtschaftlich nicht zumutbar, wenn die Kosten für die getrennte Sammlung, insbesondere auf Grund einer hohen Verschmutzung oder einer sehr geringen Menge der jeweiligen Abfallfraktion, außer Verhältnis zu den Kosten für eine gemischte Sammlung und eine anschließende Vorbehandlung oder Aufbereitung stehen. Kosten, die durch nicht durchgeführte aber technisch mögliche und wirtschaftlich zumutbare Maßnahmen des selektiven Abbruchs und Rückbaus hätten vermieden werden können, sind bei der Prüfung der wirtschaftlichen Zumutbarkeit von den Kosten für die getrennte Sammlung abzuziehen.</w:t>
      </w:r>
    </w:p>
    <w:p>
      <w:r>
        <w:t xml:space="preserve">(3) Erzeuger und Besitzer haben die Erfüllung der Pflichten nach Absatz 1 Satz 1 oder, im Fall der Abweichung von diesen Pflichten, das Vorliegen der Voraussetzungen nach Absatz 2 zu dokumentieren. Die Dokumentation ist wie folgt vorzunehmen:</w:t>
      </w:r>
    </w:p>
    <w:p>
      <w:pPr>
        <w:ind w:left="420"/>
      </w:pPr>
      <w:r>
        <w:t xml:space="preserve">1. für die getrennte Sammlung durch Lagepläne, Lichtbilder, Praxisbelege, wie Liefer- oder Wiegescheine oder ähnliche Dokumente,</w:t>
      </w:r>
    </w:p>
    <w:p>
      <w:pPr>
        <w:ind w:left="420"/>
      </w:pPr>
      <w:r>
        <w:t xml:space="preserve">2. für die Zuführung der getrennt gesammelten Abfälle zur Verwertung durch eine Erklärung desjenigen, der die Abfälle übernimmt, wobei die Erklärung dessen Namen und Anschrift sowie die Masse, die Verwertungsart und den beabsichtigten Verbleib des Abfalls zu enthalten hat, und</w:t>
      </w:r>
    </w:p>
    <w:p>
      <w:pPr>
        <w:ind w:left="420"/>
      </w:pPr>
      <w:r>
        <w:t xml:space="preserve">3. für das Abweichen von der Pflicht zur getrennten Sammlung durch eine Darlegung der technischen Unmöglichkeit oder der wirtschaftlichen Unzumutbarkeit.</w:t>
      </w:r>
    </w:p>
    <w:p>
      <w:r>
        <w:t xml:space="preserve">Die Dokumentation ist auf Verlangen der zuständigen Behörde vorzulegen; die Vorlage hat auf Verlangen der zuständigen Behörde elektronisch zu erfolgen. Die Pflichten nach den Sätzen 1 bis 3 gelten nicht für Bau- und Abbruchmaßnahmen, bei denen das Volumen der insgesamt anfallenden Abfälle 10 Kubikmeter nicht überschreitet.</w:t>
      </w:r>
    </w:p>
    <w:p>
      <w:r>
        <w:rPr>
          <w:color w:val="555555"/>
          <w:sz w:val="17"/>
        </w:rPr>
        <w:t xml:space="preserve">Zitiervorschlag: § 8 GewAbfV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https://recht.nulegal.eu/gesetze/GewAbfV%202017/8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