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7 GewAbfV 2017 — Überlassung von gewerblichen Siedlungsabfällen, die nicht verwertet werden</w:t>
      </w:r>
    </w:p>
    <w:p>
      <w:r>
        <w:rPr>
          <w:color w:val="555555"/>
          <w:sz w:val="18"/>
        </w:rPr>
        <w:t xml:space="preserve">Gewerbeabfallverordnung</w:t>
      </w:r>
    </w:p>
    <w:p>
      <w:r>
        <w:rPr>
          <w:color w:val="555555"/>
          <w:sz w:val="18"/>
        </w:rPr>
        <w:t xml:space="preserve">Stand: 29.10.2020 (konsolidierte Textfassung, kein amtliches Inkrafttretensdatum)</w:t>
      </w:r>
    </w:p>
    <w:p>
      <w:r>
        <w:t xml:space="preserve">(1) Erzeuger und Besitzer von gewerblichen Siedlungsabfällen, die nicht verwertet werden, haben diese dem zuständigen öffentlich-rechtlichen Entsorgungsträger nach Maßgabe des § 17 Absatz 1 Satz 2 des Kreislaufwirtschaftsgesetzes zu überlassen.</w:t>
      </w:r>
    </w:p>
    <w:p>
      <w:r>
        <w:t xml:space="preserve">(2) Erzeuger und Besitzer haben für die Überlassung Abfallbehälter des öffentlich-rechtlichen Entsorgungsträgers oder eines von ihm beauftragten Dritten in angemessenem Umfang nach den näheren Festlegungen des öffentlich-rechtlichen Entsorgungsträgers, mindestens aber einen Behälter, zu nutzen.</w:t>
      </w:r>
    </w:p>
    <w:p>
      <w:r>
        <w:t xml:space="preserve">(3) Die Absätze 1 und 2 gelten nicht, soweit der öffentlich-rechtliche Entsorgungsträger gewerbliche Siedlungsabfälle, die nicht verwertet werden, gemäß § 20 Absatz 3 des Kreislaufwirtschaftsgesetzes von der Entsorgung ausgeschlossen hat.</w:t>
      </w:r>
    </w:p>
    <w:p>
      <w:r>
        <w:rPr>
          <w:color w:val="555555"/>
          <w:sz w:val="17"/>
        </w:rPr>
        <w:t xml:space="preserve">Zitiervorschlag: § 7 GewAbfV 2017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https://recht.nulegal.eu/gesetze/GewAbfV%202017/7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