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GewAbfV 2017 — Gemeinsame Erfassung und Entsorgung von Kleinmengen</w:t>
      </w:r>
    </w:p>
    <w:p>
      <w:r>
        <w:rPr>
          <w:color w:val="555555"/>
          <w:sz w:val="18"/>
        </w:rPr>
        <w:t xml:space="preserve">Gewerbeabfallverordnung</w:t>
      </w:r>
    </w:p>
    <w:p>
      <w:r>
        <w:rPr>
          <w:color w:val="555555"/>
          <w:sz w:val="18"/>
        </w:rPr>
        <w:t xml:space="preserve">Stand: 10.06.2019 (konsolidierte Textfassung, kein amtliches Inkrafttretensdatum)</w:t>
      </w:r>
    </w:p>
    <w:p>
      <w:r>
        <w:t xml:space="preserve">Erzeuger und Besitzer von gewerblichen Siedlungsabfällen können diese gemeinsam mit den auf dem jeweiligen Grundstück anfallenden Abfällen aus privaten Haushaltungen in den dafür vorgesehenen Abfallbehältern erfassen und im Rahmen der für die privaten Haushaltungen vorgesehenen Entsorgungswege einer Verwertung oder einer Beseitigung zuführen, wenn ihnen auf Grund der geringen Menge der angefallenen gewerblichen Siedlungsabfälle eine Erfüllung der Pflichten nach den §§ 3 und 4 wirtschaftlich nicht zumutbar ist. Für diesen Fall entfällt die Pflicht zur Benutzung von Abfallbehältern nach § 7 Absatz 2.</w:t>
      </w:r>
    </w:p>
    <w:p>
      <w:r>
        <w:rPr>
          <w:color w:val="555555"/>
          <w:sz w:val="17"/>
        </w:rPr>
        <w:t xml:space="preserve">Zitiervorschlag: § 5 GewAbfV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https://recht.nulegal.eu/gesetze/GewAbfV%202017/5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