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GewAbfV 2017 — Inkrafttreten, Außerkrafttreten</w:t>
      </w:r>
    </w:p>
    <w:p>
      <w:r>
        <w:rPr>
          <w:color w:val="555555"/>
          <w:sz w:val="18"/>
        </w:rPr>
        <w:t xml:space="preserve">Gewerbeabfallverordnung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1. August 2017 in Kraft. Gleichzeitig tritt die Gewerbeabfallverordnung vom 19. Juni 2002 (BGBl. I S. 1938), die zuletzt durch Artikel 4 der Verordnung vom 2. Dezember 2016 (BGBl. I S. 2770) geändert worden ist, außer Kraft.</w:t>
      </w:r>
    </w:p>
    <w:p>
      <w:r>
        <w:t xml:space="preserve">(2) § 4 Absatz 2, § 6 Absatz 1 und Absatz 3 bis 6 treten am 1. Januar 2019 in Kraft.</w:t>
      </w:r>
    </w:p>
    <w:p>
      <w:r>
        <w:rPr>
          <w:color w:val="555555"/>
          <w:sz w:val="17"/>
        </w:rPr>
        <w:t xml:space="preserve">Zitiervorschlag: § 15 GewAbfV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https://recht.nulegal.eu/gesetze/GewAbfV%202017/15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GewAbfV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