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GewAbfV 2017 — Übergangsvorschrift</w:t>
      </w:r>
    </w:p>
    <w:p>
      <w:r>
        <w:rPr>
          <w:color w:val="555555"/>
          <w:sz w:val="18"/>
        </w:rPr>
        <w:t xml:space="preserve">Gewerbeabfallverordnung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4 Absatz 3 Satz 3 ist für das Entfallen der Pflicht nach § 4 Absatz 1 Satz 1</w:t>
      </w:r>
    </w:p>
    <w:p>
      <w:pPr>
        <w:ind w:left="420"/>
      </w:pPr>
      <w:r>
        <w:t xml:space="preserve">1. im Kalenderjahr des Inkrafttretens der Verordnung nicht die Getrenntsammlungsquote aus dem vorangegangenen Kalenderjahr sondern aus den letzten drei Kalendermonaten vor dem Inkrafttreten der Verordnung maßgeblich; in diesen Fällen ist abweichend von § 4 Absatz 5 Satz 4 der Nachweis innerhalb eines Monats nach dem Inkrafttreten der Verordnung der zuständigen Behörde vorzulegen,</w:t>
      </w:r>
    </w:p>
    <w:p>
      <w:pPr>
        <w:ind w:left="420"/>
      </w:pPr>
      <w:r>
        <w:t xml:space="preserve">2. im Kalenderjahr nach dem Inkrafttreten der Verordnung nicht die Getrenntsammlungsquote aus dem vorangegangenen Kalenderjahr sondern die Getrenntsammlungsquote vom Zeitpunkt des Inkrafttretens bis zum Ende des Jahres des Inkrafttretens maßgeblich.</w:t>
      </w:r>
    </w:p>
    <w:p>
      <w:r>
        <w:rPr>
          <w:color w:val="555555"/>
          <w:sz w:val="17"/>
        </w:rPr>
        <w:t xml:space="preserve">Zitiervorschlag: § 14 GewAbfV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https://recht.nulegal.eu/gesetze/GewAbfV%202017/14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GewAbfV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