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GetrAuVÜV — Freigabe der Sicherheiten</w:t>
      </w:r>
    </w:p>
    <w:p>
      <w:r>
        <w:rPr>
          <w:color w:val="555555"/>
          <w:sz w:val="18"/>
        </w:rPr>
        <w:t xml:space="preserve">Getreide-Ausfuhr- und -Verarbeitungs-Überwachungsverordnung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(1) Die für eine ausgelagerte Getreidemenge nach den in § 1 genannten Rechtsakten zu leistenden Sicherheiten können nur freigegeben werden, wenn die Bundesanstalt festgestellt hat, daß das Verfahren nach § 4 eingehalten und die sonstigen in den in § 1 genannten Rechtsakten verlangten Nachweise erbracht worden sind.</w:t>
      </w:r>
    </w:p>
    <w:p>
      <w:r>
        <w:t xml:space="preserve">(2) Die Freigabe der Sicherheit erfolgt nur auf schriftlichen Antrag, der folgende Angaben enthalten muß:</w:t>
      </w:r>
    </w:p>
    <w:p>
      <w:pPr>
        <w:ind w:left="420"/>
      </w:pPr>
      <w:r>
        <w:t xml:space="preserve">1. Abholschein-Nummer,</w:t>
      </w:r>
    </w:p>
    <w:p>
      <w:pPr>
        <w:ind w:left="420"/>
      </w:pPr>
      <w:r>
        <w:t xml:space="preserve">2. im letzten Kontrollschein eingetragene Getreidemenge,</w:t>
      </w:r>
    </w:p>
    <w:p>
      <w:pPr>
        <w:ind w:left="420"/>
      </w:pPr>
      <w:r>
        <w:t xml:space="preserve">3. Verweis auf die erfolgte Einreichung der entsprechenden Kontrollscheine mit Gegenüberstellung der jeweiligen Abgangs- und Gewichtsdifferenzen,</w:t>
      </w:r>
    </w:p>
    <w:p>
      <w:pPr>
        <w:ind w:left="420"/>
      </w:pPr>
      <w:r>
        <w:t xml:space="preserve">4. Erläuterungen zu entstandenen Gewichtsdifferenzen.</w:t>
      </w:r>
    </w:p>
    <w:p>
      <w:r>
        <w:t xml:space="preserve">Der Antrag muß die Bestätigung enthalten, daß das Interventionsgetreide nicht gegen freie Ware ausgetauscht wurde. Dem Antrag ist eine Erklärung jedes beteiligten Transporteurs beizufügen, daß beim Transport keine Zu-, Ab- oder Umladungen, ausgenommen Umladungen im Falle eines Schadens an einem Transportmittel, erfolgt oder sonstige Unregelmäßigkeiten aufgetreten sind. Die Verpflichtung zur Beifügung der Erklärung nach Satz 3 entfällt bei Transporten mit der Deutschen Bahn Aktiengesellschaft. Im Falle der Ausfuhr ist der letzte Kontrollschein mit dem Sichtvermerk der Ausfuhrzollstelle gemäß § 4 Abs. 8 Satz 3 beizufügen.</w:t>
      </w:r>
    </w:p>
    <w:p>
      <w:r>
        <w:rPr>
          <w:color w:val="555555"/>
          <w:sz w:val="17"/>
        </w:rPr>
        <w:t xml:space="preserve">Zitiervorschlag: § 6 GetrAuVÜV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https://recht.nulegal.eu/gesetze/GetrAuV%C3%9CV/6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