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GetrAuVÜV — Zuständigkeit</w:t>
      </w:r>
    </w:p>
    <w:p>
      <w:r>
        <w:rPr>
          <w:color w:val="555555"/>
          <w:sz w:val="18"/>
        </w:rPr>
        <w:t xml:space="preserve">Getreide-Ausfuhr- und -Verarbeitungs-Überwachungsverordnung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(1) Vorbehaltlich der Regelung in Absatz 2 ist für die Durchführung dieser Verordnung und der in § 1 genannten Rechtsakte, soweit sie den Anwendungsbereich dieser Verordnung betreffen, die Bundesanstalt für Landwirtschaft und Ernährung (Bundesanstalt) zuständig.</w:t>
      </w:r>
    </w:p>
    <w:p>
      <w:r>
        <w:t xml:space="preserve">(2) Die Bundesfinanzverwaltung ist im Falle der Ausfuhr zuständig für die Ausstellung und Erledigung der Kontrollexemplare. Im Falle der Verbringung nach § 8 Abs. 2 ist die Bundesanstalt für die Ausstellung und Erledigung der Kontrollexemplare zuständig.</w:t>
      </w:r>
    </w:p>
    <w:p>
      <w:r>
        <w:rPr>
          <w:color w:val="555555"/>
          <w:sz w:val="17"/>
        </w:rPr>
        <w:t xml:space="preserve">Zitiervorschlag: § 2 GetrAuVÜV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https://recht.nulegal.eu/gesetze/GetrAuV%C3%9CV/2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