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GetrAuVÜV — Muster, Vordrucke</w:t>
      </w:r>
    </w:p>
    <w:p>
      <w:r>
        <w:rPr>
          <w:color w:val="555555"/>
          <w:sz w:val="18"/>
        </w:rPr>
        <w:t xml:space="preserve">Getreide-Ausfuhr- und -Verarbeitungs-Überwachungsverordnung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(1) Die Bundesanstalt kann für</w:t>
      </w:r>
    </w:p>
    <w:p>
      <w:pPr>
        <w:ind w:left="420"/>
      </w:pPr>
      <w:r>
        <w:t xml:space="preserve">1. den Kontrollschein nach § 4 Abs. 1 und 4, auch in Verbindung mit § 8 und § 11 Abs. 2,</w:t>
      </w:r>
    </w:p>
    <w:p>
      <w:pPr>
        <w:ind w:left="420"/>
      </w:pPr>
      <w:r>
        <w:t xml:space="preserve">2. die Anträge auf Anerkennung nach § 4 Abs. 3 und § 8 Abs. 4,</w:t>
      </w:r>
    </w:p>
    <w:p>
      <w:pPr>
        <w:ind w:left="420"/>
      </w:pPr>
      <w:r>
        <w:t xml:space="preserve">3. die Anträge auf Freigabe der Sicherheit nach § 6 Abs. 2 und § 13,</w:t>
      </w:r>
    </w:p>
    <w:p>
      <w:pPr>
        <w:ind w:left="420"/>
      </w:pPr>
      <w:r>
        <w:t xml:space="preserve">4. die Verarbeitungserklärung nach § 8 Abs. 9</w:t>
      </w:r>
    </w:p>
    <w:p>
      <w:r>
        <w:t xml:space="preserve">Muster im Bundesanzeiger bekanntgeben oder Vordrucke bereithalten.</w:t>
      </w:r>
    </w:p>
    <w:p>
      <w:r>
        <w:t xml:space="preserve">(2) Soweit von den zuständigen Stellen Muster bekanntgemacht oder Vordrucke bereitgehalten worden sind, sind diese zu verwenden.</w:t>
      </w:r>
    </w:p>
    <w:p>
      <w:r>
        <w:rPr>
          <w:color w:val="555555"/>
          <w:sz w:val="17"/>
        </w:rPr>
        <w:t xml:space="preserve">Zitiervorschlag: § 17 GetrAuVÜV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https://recht.nulegal.eu/gesetze/GetrAuV%C3%9CV/17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GetrAuVÜV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