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GestStG (Brandenburg) — Landstallmeister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für die Belange des Gestütswesens und der Forschung und</w:t>
      </w:r>
    </w:p>
    <w:p>
      <w:r>
        <w:t xml:space="preserve">Bildung besonders geeignete Person soll für dieses Aufgabengebiet vom</w:t>
      </w:r>
    </w:p>
    <w:p>
      <w:r>
        <w:t xml:space="preserve">Stiftungsrat benannt und mit den notwendigen Befugnissen ausgestattet werden.</w:t>
      </w:r>
    </w:p>
    <w:p>
      <w:r>
        <w:t xml:space="preserve">(2) Die für das Gestütswesen und die Forschung und Bildung benannte</w:t>
      </w:r>
    </w:p>
    <w:p>
      <w:r>
        <w:t xml:space="preserve">Person erhält die Bezeichnung "Landstallmeister".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9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