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GestStG (Brandenburg) — Geschäftsführer</w:t>
      </w:r>
    </w:p>
    <w:p>
      <w:r>
        <w:rPr>
          <w:color w:val="555555"/>
          <w:sz w:val="18"/>
        </w:rPr>
        <w:t xml:space="preserve">Gestütsstiftungsgesetz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Geschäftsführer führt die laufenden Geschäfte der</w:t>
      </w:r>
    </w:p>
    <w:p>
      <w:r>
        <w:t xml:space="preserve">Stiftung. Er hat die Beschlüsse des Stiftungsrates auszuführen und vertritt die</w:t>
      </w:r>
    </w:p>
    <w:p>
      <w:r>
        <w:t xml:space="preserve">Stiftung gerichtlich und außergerichtlich. Ihm gegenüber wird die Stiftung durch</w:t>
      </w:r>
    </w:p>
    <w:p>
      <w:r>
        <w:t xml:space="preserve">den Vorsitzenden des Stiftungsrates vertreten.</w:t>
      </w:r>
    </w:p>
    <w:p>
      <w:r>
        <w:t xml:space="preserve">(2) Die Zuständigkeit für die Bestellung, Anstellung, Abberufung</w:t>
      </w:r>
    </w:p>
    <w:p>
      <w:r>
        <w:t xml:space="preserve">und Kündigung des Geschäftsführers liegt beim Stiftungsrat.</w:t>
      </w:r>
    </w:p>
    <w:p>
      <w:r>
        <w:t xml:space="preserve">(3) Das Nähere regelt die Satzung.</w:t>
      </w:r>
    </w:p>
    <w:p>
      <w:r>
        <w:rPr>
          <w:color w:val="555555"/>
          <w:sz w:val="17"/>
        </w:rPr>
        <w:t xml:space="preserve">Zitiervorschlag: § 8 GestStG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https://recht.nulegal.eu/gesetze/GestStG/8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