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GestStG (Brandenburg) — Kuratorium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Kuratorium besteht aus mindestens sieben, höchstens 13</w:t>
      </w:r>
    </w:p>
    <w:p>
      <w:r>
        <w:t xml:space="preserve">Mitgliedern. Sie sind ehrenamtlich tätig. Dem Kuratorium gehören an:</w:t>
      </w:r>
    </w:p>
    <w:p>
      <w:r>
        <w:t xml:space="preserve">ein Vertreter der für Kultur zuständigen obersten</w:t>
      </w:r>
    </w:p>
    <w:p>
      <w:r>
        <w:t xml:space="preserve">Landesbehörde,</w:t>
      </w:r>
    </w:p>
    <w:p>
      <w:r>
        <w:t xml:space="preserve">ein Vertreter der für Bildung zuständigen obersten</w:t>
      </w:r>
    </w:p>
    <w:p>
      <w:r>
        <w:t xml:space="preserve">Landesbehörde,</w:t>
      </w:r>
    </w:p>
    <w:p>
      <w:r>
        <w:t xml:space="preserve">ein Vertreter des Landkreises Ostprignitz-Ruppin,</w:t>
      </w:r>
    </w:p>
    <w:p>
      <w:r>
        <w:t xml:space="preserve">ein Vertreter der Gemeinde Neustadt (Dosse).</w:t>
      </w:r>
    </w:p>
    <w:p>
      <w:r>
        <w:t xml:space="preserve">Die weiteren Mitglieder des Kuratoriums werden durch den</w:t>
      </w:r>
    </w:p>
    <w:p>
      <w:r>
        <w:t xml:space="preserve">Stiftungsrat berufen und abberufen. Im Übrigen soll das Kuratorium aus Personen</w:t>
      </w:r>
    </w:p>
    <w:p>
      <w:r>
        <w:t xml:space="preserve">bestehen, die den unter § 2 genannten Stiftungszwecken in besonderem Maße</w:t>
      </w:r>
    </w:p>
    <w:p>
      <w:r>
        <w:t xml:space="preserve">verpflichtet sind.</w:t>
      </w:r>
    </w:p>
    <w:p>
      <w:r>
        <w:t xml:space="preserve">(2) Das Kuratorium berät den Stiftungsrat und den Geschäftsführer.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7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