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GestStG (Brandenburg) — In-Kraft-Treten</w:t>
      </w:r>
    </w:p>
    <w:p>
      <w:r>
        <w:rPr>
          <w:color w:val="555555"/>
          <w:sz w:val="18"/>
        </w:rPr>
        <w:t xml:space="preserve">Gestütsstiftungsgesetz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1. September 2001 in Kraft.</w:t>
      </w:r>
    </w:p>
    <w:p>
      <w:r>
        <w:t xml:space="preserve">Potsdam, den 30. Juli2001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Anm.: Anlagen wurden nicht aufgenommen!</w:t>
      </w:r>
    </w:p>
    <w:p>
      <w:r>
        <w:rPr>
          <w:color w:val="555555"/>
          <w:sz w:val="17"/>
        </w:rPr>
        <w:t xml:space="preserve">Zitiervorschlag: § 14 GestStG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https://recht.nulegal.eu/gesetze/GestStG/14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