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GestStG (Brandenburg) — Schlussbestimmungen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Organmitglieder der Stiftung sind innerhalb von drei</w:t>
      </w:r>
    </w:p>
    <w:p>
      <w:r>
        <w:t xml:space="preserve">Monaten nach In-Kraft-Treten dieses Gesetzes zu bestellen.</w:t>
      </w:r>
    </w:p>
    <w:p>
      <w:r>
        <w:t xml:space="preserve">(2) Die Satzung der Stiftung ist im Amtsblatt für</w:t>
      </w:r>
    </w:p>
    <w:p>
      <w:r>
        <w:t xml:space="preserve">Brandenburg zu veröffentlichen.</w:t>
      </w:r>
    </w:p>
    <w:p>
      <w:r>
        <w:rPr>
          <w:color w:val="555555"/>
          <w:sz w:val="17"/>
        </w:rPr>
        <w:t xml:space="preserve">Zitiervorschlag: § 13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