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GestStG (Brandenburg) — Geschäftsjahr, Wirtschaftplan und Rechnungsprüfung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Geschäftsjahr der Stiftung ist das Kalenderjahr.</w:t>
      </w:r>
    </w:p>
    <w:p>
      <w:r>
        <w:t xml:space="preserve">(2) Die Stiftung stellt jährlich rechtzeitig vor Beginn</w:t>
      </w:r>
    </w:p>
    <w:p>
      <w:r>
        <w:t xml:space="preserve">des nächsten Geschäftsjahres einen Wirtschaftsplan auf.</w:t>
      </w:r>
    </w:p>
    <w:p>
      <w:r>
        <w:t xml:space="preserve">(3) Die Stiftung erstellt nach Abschluss des</w:t>
      </w:r>
    </w:p>
    <w:p>
      <w:r>
        <w:t xml:space="preserve">Geschäftsjahres einen Jahresabschluss. Der Jahresabschluss ist nach den</w:t>
      </w:r>
    </w:p>
    <w:p>
      <w:r>
        <w:t xml:space="preserve">ergänzenden Vorschriften für Kapitalgesellschaften des Zweiten</w:t>
      </w:r>
    </w:p>
    <w:p>
      <w:r>
        <w:t xml:space="preserve">Abschnittes des Dritten Buches des Handelsgesetzbuches aufzustellen.</w:t>
      </w:r>
    </w:p>
    <w:p>
      <w:r>
        <w:t xml:space="preserve">(4) Die Haushalts- und Wirtschaftsführung wird von einem</w:t>
      </w:r>
    </w:p>
    <w:p>
      <w:r>
        <w:t xml:space="preserve">Wirtschaftsprüfungsbüro geprüft und testiert. Sonstige</w:t>
      </w:r>
    </w:p>
    <w:p>
      <w:r>
        <w:t xml:space="preserve">gesetzliche Prüfungsrechte Dritter bleiben unberührt.</w:t>
      </w:r>
    </w:p>
    <w:p>
      <w:r>
        <w:t xml:space="preserve">(5) Das Nähere regelt die Satzung.</w:t>
      </w:r>
    </w:p>
    <w:p>
      <w:r>
        <w:rPr>
          <w:color w:val="555555"/>
          <w:sz w:val="17"/>
        </w:rPr>
        <w:t xml:space="preserve">Zitiervorschlag: § 11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