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GestStG (Brandenburg) — Personal</w:t>
      </w:r>
    </w:p>
    <w:p>
      <w:r>
        <w:rPr>
          <w:color w:val="555555"/>
          <w:sz w:val="18"/>
        </w:rPr>
        <w:t xml:space="preserve">Gestütsstiftungsgesetz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Mit In-Kraft-Treten dieses Gesetzes gehen die</w:t>
      </w:r>
    </w:p>
    <w:p>
      <w:r>
        <w:t xml:space="preserve">Arbeitsverhältnisse der bisher im Brandenburgischen Haupt- und</w:t>
      </w:r>
    </w:p>
    <w:p>
      <w:r>
        <w:t xml:space="preserve">Landgestüt tätigen Arbeitnehmer auf die Stiftung</w:t>
      </w:r>
    </w:p>
    <w:p>
      <w:r>
        <w:t xml:space="preserve">„Brandenburgisches Haupt- und Landgestüt Neustadt (Dosse)“</w:t>
      </w:r>
    </w:p>
    <w:p>
      <w:r>
        <w:t xml:space="preserve">über. Betriebsbedingte Kündigungen durch die Stiftung</w:t>
      </w:r>
    </w:p>
    <w:p>
      <w:r>
        <w:t xml:space="preserve">„Brandenburgisches Haupt- und Landgestüt Neustadt (Dosse)“ im</w:t>
      </w:r>
    </w:p>
    <w:p>
      <w:r>
        <w:t xml:space="preserve">Zusammenhang mit der Überleitung sind unzulässig. Die Stiftung</w:t>
      </w:r>
    </w:p>
    <w:p>
      <w:r>
        <w:t xml:space="preserve">„Brandenburgisches Haupt- und Landgestüt Neustadt (Dosse)“</w:t>
      </w:r>
    </w:p>
    <w:p>
      <w:r>
        <w:t xml:space="preserve">übernimmt sämtliche Arbeitgeberrechte und -pflichten. Sie trägt</w:t>
      </w:r>
    </w:p>
    <w:p>
      <w:r>
        <w:t xml:space="preserve">dafür Sorge, dass die Rechtsstellung der übergeleiteten Arbeitnehmer</w:t>
      </w:r>
    </w:p>
    <w:p>
      <w:r>
        <w:t xml:space="preserve">und die von ihnen erworbenen Besitzstände infolge der Umwandlung in eine</w:t>
      </w:r>
    </w:p>
    <w:p>
      <w:r>
        <w:t xml:space="preserve">Stiftung öffentlichen Rechts nicht eingeschränkt werden</w:t>
      </w:r>
    </w:p>
    <w:p>
      <w:r>
        <w:t xml:space="preserve">(Bestandsschutzklausel). Für die Arbeitnehmer, die zum Zeitpunkt des</w:t>
      </w:r>
    </w:p>
    <w:p>
      <w:r>
        <w:t xml:space="preserve">In-Kraft-Tretens dieses Gesetzes im Brandenburgischen Haupt- und</w:t>
      </w:r>
    </w:p>
    <w:p>
      <w:r>
        <w:t xml:space="preserve">Landgestüt tätig sind, finden der Bundesangestelltentarifvertrag -</w:t>
      </w:r>
    </w:p>
    <w:p>
      <w:r>
        <w:t xml:space="preserve">Ost und der Manteltarifvertrag für Arbeiter des Bundes und der Länder</w:t>
      </w:r>
    </w:p>
    <w:p>
      <w:r>
        <w:t xml:space="preserve">- Ost sowie die diese Manteltarifverträge ergänzenden, ändernden</w:t>
      </w:r>
    </w:p>
    <w:p>
      <w:r>
        <w:t xml:space="preserve">oder ersetzenden Tarifverträge in der für den Bereich der</w:t>
      </w:r>
    </w:p>
    <w:p>
      <w:r>
        <w:t xml:space="preserve">Tarifgemeinschaft deutscher Länder jeweils geltenden Fassung weiterhin</w:t>
      </w:r>
    </w:p>
    <w:p>
      <w:r>
        <w:t xml:space="preserve">Anwendung.</w:t>
      </w:r>
    </w:p>
    <w:p>
      <w:r>
        <w:t xml:space="preserve">(2) Die Überführung des Brandenburgischen Haupt- und</w:t>
      </w:r>
    </w:p>
    <w:p>
      <w:r>
        <w:t xml:space="preserve">Landgestüts Neustadt (Dosse) oder von Betriebsteilen des Gestüts in</w:t>
      </w:r>
    </w:p>
    <w:p>
      <w:r>
        <w:t xml:space="preserve">eine andere Trägerschaft setzt voraus, dass den Beschäftigten, die</w:t>
      </w:r>
    </w:p>
    <w:p>
      <w:r>
        <w:t xml:space="preserve">zum Stichtag des Übergangs auf die Stiftung „Brandenburgisches Haupt-</w:t>
      </w:r>
    </w:p>
    <w:p>
      <w:r>
        <w:t xml:space="preserve">und Landgestüt Neustadt (Dosse)“ beim Gestüt beschäftigt</w:t>
      </w:r>
    </w:p>
    <w:p>
      <w:r>
        <w:t xml:space="preserve">waren, von dem neuen Träger die Weiterbeschäftigung unter Wahrung</w:t>
      </w:r>
    </w:p>
    <w:p>
      <w:r>
        <w:t xml:space="preserve">ihres Besitzstandes ermöglicht wird. Bei ersatzloser Aufhebung der</w:t>
      </w:r>
    </w:p>
    <w:p>
      <w:r>
        <w:t xml:space="preserve">Stiftung „Brandenburgisches Haupt- und Landgestüt Neustadt</w:t>
      </w:r>
    </w:p>
    <w:p>
      <w:r>
        <w:t xml:space="preserve">(Dosse)“ unter Überführung des Gestüts in eine</w:t>
      </w:r>
    </w:p>
    <w:p>
      <w:r>
        <w:t xml:space="preserve">Trägerschaft ohne Mehrheitsbeteiligung des Landes Brandenburg werden diese</w:t>
      </w:r>
    </w:p>
    <w:p>
      <w:r>
        <w:t xml:space="preserve">Mitarbeiter unter Wahrung der bei der Stiftung „Brandenburgisches Haupt-</w:t>
      </w:r>
    </w:p>
    <w:p>
      <w:r>
        <w:t xml:space="preserve">und Landgestüt Neustadt (Dosse)“ erreichten Lohn- und</w:t>
      </w:r>
    </w:p>
    <w:p>
      <w:r>
        <w:t xml:space="preserve">Vergütungsgruppe und Beschäftigungszeit wieder in den Diensten des</w:t>
      </w:r>
    </w:p>
    <w:p>
      <w:r>
        <w:t xml:space="preserve">Landes Brandenburg beschäftigt. Im Falle der Überführung des</w:t>
      </w:r>
    </w:p>
    <w:p>
      <w:r>
        <w:t xml:space="preserve">Brandenburgischen Haupt- und Landgestüts Neustadt (Dosse) oder</w:t>
      </w:r>
    </w:p>
    <w:p>
      <w:r>
        <w:t xml:space="preserve">Betriebsteilen des Gestüts in eine andere Trägerschaft ohne</w:t>
      </w:r>
    </w:p>
    <w:p>
      <w:r>
        <w:t xml:space="preserve">Mehrheitsbeteiligung der Stiftung „Brandenburgisches Haupt- und</w:t>
      </w:r>
    </w:p>
    <w:p>
      <w:r>
        <w:t xml:space="preserve">Landgestüt Neustadt (Dosse)“ werden diese Mitarbeiter auf Wunsch</w:t>
      </w:r>
    </w:p>
    <w:p>
      <w:r>
        <w:t xml:space="preserve">unter Wahrung der bei der Stiftung „Brandenburgisches Haupt- und</w:t>
      </w:r>
    </w:p>
    <w:p>
      <w:r>
        <w:t xml:space="preserve">Landgestüt Neustadt (Dosse)“ erreichten Lohn- und</w:t>
      </w:r>
    </w:p>
    <w:p>
      <w:r>
        <w:t xml:space="preserve">Vergütungsgruppe und Beschäftigungszeit bei der Stiftung weiter</w:t>
      </w:r>
    </w:p>
    <w:p>
      <w:r>
        <w:t xml:space="preserve">beschäftigt.</w:t>
      </w:r>
    </w:p>
    <w:p>
      <w:r>
        <w:t xml:space="preserve">(3) Das Personal der Stiftung wird vom</w:t>
      </w:r>
    </w:p>
    <w:p>
      <w:r>
        <w:t xml:space="preserve">Geschäftsführer angestellt und entlassen.</w:t>
      </w:r>
    </w:p>
    <w:p>
      <w:r>
        <w:t xml:space="preserve">(4) Für die Bediensteten gilt das</w:t>
      </w:r>
    </w:p>
    <w:p>
      <w:r>
        <w:t xml:space="preserve">Personalvertretungsgesetz für das Land Brandenburg.</w:t>
      </w:r>
    </w:p>
    <w:p>
      <w:r>
        <w:rPr>
          <w:color w:val="555555"/>
          <w:sz w:val="17"/>
        </w:rPr>
        <w:t xml:space="preserve">Zitiervorschlag: § 10 GestStG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https://recht.nulegal.eu/gesetze/GestStG/10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