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GestRaumPrV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Gestaltungsberater im Raumausstatter-Handwerk/Geprüfte Gestaltungsberaterin im Raumausstatter-Handwerk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Als Prüfungsleistungen sind einzeln zu bewerten:</w:t>
      </w:r>
    </w:p>
    <w:p>
      <w:pPr>
        <w:ind w:left="420"/>
      </w:pPr>
      <w:r>
        <w:t xml:space="preserve">1. die schriftliche Situationsaufgabe im Handlungsbereich „Beratung und Gestaltung“ nach § 3 Absatz 2 Nummer 1,</w:t>
      </w:r>
    </w:p>
    <w:p>
      <w:pPr>
        <w:ind w:left="420"/>
      </w:pPr>
      <w:r>
        <w:t xml:space="preserve">2. die schriftliche Situationsaufgabe im Handlungsbereich „Auftragsvorbereitung und Projektplanung“ nach § 3 Absatz 2 Nummer 2 sowie</w:t>
      </w:r>
    </w:p>
    <w:p>
      <w:pPr>
        <w:ind w:left="420"/>
      </w:pPr>
      <w:r>
        <w:t xml:space="preserve">3. das situationsbezogene Fachgespräch nach § 3 Absatz 2 Nummer 3.</w:t>
      </w:r>
    </w:p>
    <w:p>
      <w:r>
        <w:rPr>
          <w:color w:val="555555"/>
          <w:sz w:val="17"/>
        </w:rPr>
        <w:t xml:space="preserve">Zitiervorschlag: § 6 GestRaumPrV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https://recht.nulegal.eu/gesetze/GestRaumPrV/6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