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GestRaumPrV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Gestaltungsberater im Raumausstatter-Handwerk/Geprüfte Gestaltungsberaterin im Raumausstatter-Handwerk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Wird die zu prüfende Person nach § 42c Absatz 2 der Handwerksordnung von der Ablegung einzelner Prüfungsbereiche befreit, bleiben diese Prüfungsbereiche für die Anwendung der §§ 6 und 7 außer Betracht. Für die übrigen Prüfungsbereiche erhöhen sich die Anteile nach § 7 Absatz 3 Satz 2 entsprechend ihrem Verhältnis zueinander. Allein diese Prüfungsbereiche sind den Entscheidungen des Prüfungsausschusses zugrunde zu legen.</w:t>
      </w:r>
    </w:p>
    <w:p>
      <w:r>
        <w:rPr>
          <w:color w:val="555555"/>
          <w:sz w:val="17"/>
        </w:rPr>
        <w:t xml:space="preserve">Zitiervorschlag: § 5 GestRaumPrV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https://recht.nulegal.eu/gesetze/GestRaumPrV/5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