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Gesetz (Nordrhein-Westfalen) — Eigenkapital und Rücklagen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Eigenkapital (ggf. einschließlich Haushaltsresten) entspricht insbesondere den im Anlagevermögen und im Programmvermögen gebundenen eigenen Mitteln. Zugänge zum Eigenkapital bzw. Abgänge aus dem Eigenkapital ergeben sich aus dem Vollzug des Aufwands- und Ertragsplans. Die Veränderungen des Eigenkapitals sind in der Vermögensrechnung darzustellen.</w:t>
      </w:r>
    </w:p>
    <w:p>
      <w:r>
        <w:t xml:space="preserve">(2) Zur Sicherung seiner Haushaltswirtschaft hat der WDR Rücklagen zu bilden, soweit dies für die stetige Erfüllung seiner Aufgaben notwendig ist.</w:t>
      </w:r>
    </w:p>
    <w:p>
      <w:r>
        <w:t xml:space="preserve">(3) Notwendig sind insbesondere Rücklagen, die</w:t>
      </w:r>
    </w:p>
    <w:p>
      <w:r>
        <w:t xml:space="preserve">a) unabhängig vom Zeitpunkt einer Veränderung des Rundfunkbeitrags einer mehrjährigen, möglichst gleichmäßigen Verwendung der Einnahmen dienen,</w:t>
      </w:r>
    </w:p>
    <w:p>
      <w:r>
        <w:t xml:space="preserve">b) der Vorsorge für größere technische Investitionen und Baumaßnahmen dienen.</w:t>
      </w:r>
    </w:p>
    <w:p>
      <w:r>
        <w:t xml:space="preserve">(4) Rücklagen sind im übrigen nach der mittelfristigen Finanzplanung auszurichten.</w:t>
      </w:r>
    </w:p>
    <w:p>
      <w:r>
        <w:t xml:space="preserve">(5) Die Zuführungen und Entnahmen sind im Haushaltsplan zu veranschlagen. Zahl, Art und Umfang der notwendigen Rücklagen sind in der Vermögensrechnung auszuweisen.</w:t>
      </w:r>
    </w:p>
    <w:p>
      <w:r>
        <w:t xml:space="preserve">(6) Zur Beschlussfassung über die Bildung von Rücklagen ist eine Mehrheit der Stimmen der Mitglieder des Verwaltungsrats erforderlich.</w:t>
      </w:r>
    </w:p>
    <w:p>
      <w:r>
        <w:rPr>
          <w:color w:val="555555"/>
          <w:sz w:val="17"/>
        </w:rPr>
        <w:t xml:space="preserve">Zitiervorschlag: § 37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