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Gesetz (Nordrhein-Westfalen) — Redakteurvertretung, Schlichtungsausschuss</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Programmitarbeiterinnen und -mitarbeiter des WDR bilden als Berufsgruppenvertretung eine Redakteurvertretung, die von der Redakteurversammlung gewählt wird. Der Redakteurversammlung gehören als stimmberechtigte Mitglieder folgende Programmitarbeiterinnen und -mitarbeiter an:</w:t>
      </w:r>
    </w:p>
    <w:p>
      <w:r>
        <w:t xml:space="preserve">1. angestellte Redakteurinnen und Redakteure, Korrespondentinnen und Korrespondenten, Reporterinnen und Reporter, Dramaturginnen und Dramaturgen im Sinne der Vergütungsordnung des WDR in der jeweils gültigen Fassung und außertariflich vergütete Redakteurinnen und Redakteure,</w:t>
      </w:r>
    </w:p>
    <w:p>
      <w:r>
        <w:t xml:space="preserve">2. andere angestellte Mitarbeiterinnen und Mitarbeiter, soweit sie gelegentlich unmittelbare Programmmitarbeit leisten.</w:t>
      </w:r>
    </w:p>
    <w:p>
      <w:r>
        <w:t xml:space="preserve">(2) Die Redakteurvertretung hat vor allem die Aufgabe, sich nach Maßgabe des Redakteurstatuts (§ 31) um eine Einigung bei Konflikten in Programmfragen zu bemühen, die zwischen Programmitarbeiterinnen und -mitarbeitern und ihren Vorgesetzten entstehen. In Angelegenheiten, die in die Zuständigkeit des Personalrats fallen, kann sie eine Empfehlung an den Personalrat beschließen.</w:t>
      </w:r>
    </w:p>
    <w:p>
      <w:r>
        <w:t xml:space="preserve">(3) Kann ein Konflikt in Programmfragen zwischen Intendantin oder Intendant und Redakteurvertretung nicht beigelegt werden, so tritt auf Antrag ein Schlichtungsausschuss zusammen. Er besteht aus einer unparteiischen Person, die den Vorsitz innehat, einer Person, die sie im Vorsitz vertritt, und Beisitzenden, die für drei Jahre je zur Hälfte von der Intendantin oder vom Intendanten bestellt und von der Redakteurvertretung entsandt werden. § 67 Abs. 1 Satz 3, Abs. 2 bis 4 Satz 1 und 2, Abs. 5, 6 Satz 1 sowie Abs. 7 Landespersonalvertretungsgesetz ist entsprechend anzuwenden. Der Schlichtungsausschuss beschließt eine Empfehlung an die Intendantin oder den Intendanten. Wird dieser Empfehlung nicht entsprochen, muß die Intendantin oder der Intendant diese Entscheidung gegenüber dem Schlichtungsausschuss begründen.</w:t>
      </w:r>
    </w:p>
    <w:p>
      <w:r>
        <w:t xml:space="preserve">(4) Die §§ 16 und 25 bleiben unberührt.</w:t>
      </w:r>
    </w:p>
    <w:p>
      <w:r>
        <w:rPr>
          <w:color w:val="555555"/>
          <w:sz w:val="17"/>
        </w:rPr>
        <w:t xml:space="preserve">Zitiervorschlag: § 30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