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Gesetz (Nordrhein-Westfalen) — Vorzeitige Beendigung der Mitgliedschaftim Rundfunkrat und Verwaltungsrat</w:t>
      </w:r>
    </w:p>
    <w:p>
      <w:r>
        <w:rPr>
          <w:color w:val="555555"/>
          <w:sz w:val="18"/>
        </w:rPr>
        <w:t xml:space="preserve">WDR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Mitgliedschaft im Rundfunkrat oder Verwaltungsrat erlischt vorzeitig</w:t>
      </w:r>
    </w:p>
    <w:p>
      <w:r>
        <w:t xml:space="preserve">a) durch Tod,</w:t>
      </w:r>
    </w:p>
    <w:p>
      <w:r>
        <w:t xml:space="preserve">b) durch Niederlegung des Amtes,</w:t>
      </w:r>
    </w:p>
    <w:p>
      <w:r>
        <w:t xml:space="preserve">c) durch Abberufung nach Absatz 2,</w:t>
      </w:r>
    </w:p>
    <w:p>
      <w:r>
        <w:t xml:space="preserve">d) durch Verlust der Fähigkeit, Rechte aus öffentlichen Wahlen zu erlangen oder öffentliche Ämter zu bekleiden,</w:t>
      </w:r>
    </w:p>
    <w:p>
      <w:r>
        <w:t xml:space="preserve">e) durch Eintritt der Geschäftsunfähigkeit oder beschränkter Geschäftsfähigkeit,</w:t>
      </w:r>
    </w:p>
    <w:p>
      <w:r>
        <w:t xml:space="preserve">f) durch Erwerb der Mitgliedschaft in einem anderen Organ des WDR,</w:t>
      </w:r>
    </w:p>
    <w:p>
      <w:r>
        <w:t xml:space="preserve">g) durch Eintritt eines der in § 13 Abs. 3 bis 5 genannten Ausschlussgründe,</w:t>
      </w:r>
    </w:p>
    <w:p>
      <w:r>
        <w:t xml:space="preserve">h) im Fall der Neukonstituierung des Landtags nach Absatz 3.</w:t>
      </w:r>
    </w:p>
    <w:p>
      <w:r>
        <w:t xml:space="preserve">Die Mitgliedschaft endet im Fall von Satz 1 Buchstabe a bis g an dem Tag, an dem das Ereignis eingetreten ist.</w:t>
      </w:r>
    </w:p>
    <w:p>
      <w:r>
        <w:t xml:space="preserve">(2) Die nach § 15 Absatz 3 und 4 entsandten Mitglieder können von den sie jeweils entsendenden Organisationen vorzeitig abberufen werden, wenn sie aus der betreffenden Organisation ausgeschieden oder entgegen § 13 Absatz 5a tätig geworden sind.</w:t>
      </w:r>
    </w:p>
    <w:p>
      <w:r>
        <w:t xml:space="preserve">(3) Im Fall der Neukonstituierung des Landtags während der laufenden Amtsperiode des Rundfunkrats scheiden die bisherigen nach § 15 Absatz 2 entsandten Mitglieder und deren Stellvertreterinnen oder Stellvertreter mit der Neubenennung von Mitgliedern und deren Stellvertreterinnen oder Stellvertretern, spätestens jedoch sechs Monate nach Neukonstituierung des Landtags, aus dem Rundfunkrat aus. Für die Abberufung und Neubenennung gilt der Zeitpunkt der Mitteilung an die Vorsitzende oder den Vorsitzenden des Rundfunkrats. Nach § 15 Absatz 2 entsandte Mitglieder behalten im Fall einer erneuten Entsendung innerhalb einer laufenden Amtsperiode des Rundfunkrats ihre bisherigen durch Wahl des Rundfunkrates bestimmten Funktionen und Ämter.</w:t>
      </w:r>
    </w:p>
    <w:p>
      <w:r>
        <w:t xml:space="preserve">(4) Ein Mitglied des Verwaltungsrats kann vom Rundfunkrat aus wichtigem Grund abberufen werden, wenn es entgegen § 13 Absatz 5a tätig geworden ist. Zur Vorbereitung der Entscheidung legt der Verwaltungsrat dem Rundfunkrat einen schriftlichen oder elektronischen Bericht vor. Das betroffene Mitglied ist vom Verwaltungsrat und vom Rundfunkrat zu hören; es ist von der Beratung des Verwaltungsrats über den Bericht und von der Abstimmung ausgeschlossen. Der Verwaltungsrat kann die Abberufung beim Rundfunkrat beantragen. Die oder der Vorsitzende des Rundfunkrats stellt dem betroffenen Mitglied den Beschluss über die Abberufung nach näherer Bestimmung der Satzung zu. Ein hiergegen eingeleitetes Verwaltungsstreitverfahren bedarf keines Vorverfahrens; die Anfechtungsklage hat keine aufschiebende Wirkung.</w:t>
      </w:r>
    </w:p>
    <w:p>
      <w:r>
        <w:rPr>
          <w:color w:val="555555"/>
          <w:sz w:val="17"/>
        </w:rPr>
        <w:t xml:space="preserve">Zitiervorschlag: § 14 Gesetz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https://recht.nulegal.eu/gesetze/Gesetz/14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