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GeschmMG 2004 — Weiterleitung der internationalen Anmeldung</w:t>
      </w:r>
    </w:p>
    <w:p>
      <w:r>
        <w:rPr>
          <w:color w:val="555555"/>
          <w:sz w:val="18"/>
        </w:rPr>
        <w:t xml:space="preserve">Designgesetz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beim Deutschen Patent- und Markenamt internationale Anmeldungen von Designs eingereicht, so vermerkt das Deutsche Patent- und Markenamt auf der Anmeldung den Tag des Eingangs und leitet die Anmeldung ohne Prüfung unverzüglich an das Internationale Büro weiter.</w:t>
      </w:r>
    </w:p>
    <w:p>
      <w:r>
        <w:rPr>
          <w:color w:val="555555"/>
          <w:sz w:val="17"/>
        </w:rPr>
        <w:t xml:space="preserve">Zitiervorschlag: § 68 GeschmMG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https://recht.nulegal.eu/gesetze/GeschmMG%202004/68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