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67 GeschmMG 2004 — Einreichung der internationalen Anmeldung</w:t>
      </w:r>
    </w:p>
    <w:p>
      <w:r>
        <w:rPr>
          <w:color w:val="555555"/>
          <w:sz w:val="18"/>
        </w:rPr>
        <w:t xml:space="preserve">Designgesetz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internationale Anmeldung von Designs kann nach Wahl des Anmelders entweder direkt beim Internationalen Büro der Weltorganisation für geistiges Eigentum (Internationales Büro) oder über das Deutsche Patent- und Markenamt eingereicht werden.</w:t>
      </w:r>
    </w:p>
    <w:p>
      <w:r>
        <w:rPr>
          <w:color w:val="555555"/>
          <w:sz w:val="17"/>
        </w:rPr>
        <w:t xml:space="preserve">Zitiervorschlag: § 67 GeschmMG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https://recht.nulegal.eu/gesetze/GeschmMG%202004/67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