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GeschmMG 2004 — Strafbare Verletzung eines Gemeinschaftsgeschmacksmusters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entgegen Artikel 19 Absatz 1 der Verordnung (EG) Nr. 6/2002 ein Gemeinschaftsgeschmacksmuster benutzt, obwohl der Inhaber nicht zugestimmt hat, wird mit Freiheitsstrafe bis zu drei Jahren oder mit Geldstrafe bestraft.</w:t>
      </w:r>
    </w:p>
    <w:p>
      <w:r>
        <w:t xml:space="preserve">(2) § 51 Absatz 2 bis 6 gilt entsprechend.</w:t>
      </w:r>
    </w:p>
    <w:p>
      <w:r>
        <w:rPr>
          <w:color w:val="555555"/>
          <w:sz w:val="17"/>
        </w:rPr>
        <w:t xml:space="preserve">Zitiervorschlag: § 65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