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GeschmMG 2004 — Offenbarung</w:t>
      </w:r>
    </w:p>
    <w:p>
      <w:r>
        <w:rPr>
          <w:color w:val="555555"/>
          <w:sz w:val="18"/>
        </w:rPr>
        <w:t xml:space="preserve">Designgesetz</w:t>
      </w:r>
    </w:p>
    <w:p>
      <w:r>
        <w:rPr>
          <w:color w:val="555555"/>
          <w:sz w:val="18"/>
        </w:rPr>
        <w:t xml:space="preserve">Stand: 10.06.2019 (konsolidierte Textfassung, kein amtliches Inkrafttretensdatum)</w:t>
      </w:r>
    </w:p>
    <w:p>
      <w:r>
        <w:t xml:space="preserve">Ein Design ist offenbart, wenn es bekannt gemacht, ausgestellt, im Verkehr verwendet oder auf sonstige Weise der Öffentlichkeit zugänglich gemacht wurde, es sei denn, dass dies den in der Gemeinschaft tätigen Fachkreisen des betreffenden Sektors im normalen Geschäftsverlauf vor dem Anmeldetag des Designs nicht bekannt sein konnte. Ein Design gilt nicht als offenbart, wenn es einem Dritten lediglich unter der ausdrücklichen oder stillschweigenden Bedingung der Vertraulichkeit bekannt gemacht wurde.</w:t>
      </w:r>
    </w:p>
    <w:p>
      <w:r>
        <w:rPr>
          <w:color w:val="555555"/>
          <w:sz w:val="17"/>
        </w:rPr>
        <w:t xml:space="preserve">Zitiervorschlag: § 5 GeschmMG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https://recht.nulegal.eu/gesetze/GeschmMG%202004/5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