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GeschmMG 2004 — Gegenstand des Schutzes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Schutz wird für diejenigen Merkmale der Erscheinungsform eines eingetragenen Designs begründet, die in der Anmeldung sichtbar wiedergegeben sind.</w:t>
      </w:r>
    </w:p>
    <w:p>
      <w:r>
        <w:t xml:space="preserve">(2) Enthält für die Zwecke der Aufschiebung der Bekanntmachung eine Anmeldung nach § 11 Absatz 2 Satz 2 einen flächenmäßigen Designabschnitt, so bestimmt sich bei ordnungsgemäßer Erstreckung mit Ablauf der Aufschiebung nach § 21 Absatz 2 der Schutzgegenstand nach der eingereichten Wiedergabe des eingetragenen Designs.</w:t>
      </w:r>
    </w:p>
    <w:p>
      <w:r>
        <w:rPr>
          <w:color w:val="555555"/>
          <w:sz w:val="17"/>
        </w:rPr>
        <w:t xml:space="preserve">Zitiervorschlag: § 37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