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GeschmMG 2004 — Nichtigkeit</w:t>
      </w:r>
    </w:p>
    <w:p>
      <w:r>
        <w:rPr>
          <w:color w:val="555555"/>
          <w:sz w:val="18"/>
        </w:rPr>
        <w:t xml:space="preserve">Designgesetz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eingetragenes Design ist nichtig, wenn</w:t>
      </w:r>
    </w:p>
    <w:p>
      <w:pPr>
        <w:ind w:left="420"/>
      </w:pPr>
      <w:r>
        <w:t xml:space="preserve">1. die Erscheinungsform des Erzeugnisses kein Design im Sinne des § 1 Nummer 1 ist,</w:t>
      </w:r>
    </w:p>
    <w:p>
      <w:pPr>
        <w:ind w:left="420"/>
      </w:pPr>
      <w:r>
        <w:t xml:space="preserve">2. das Design nicht neu ist oder keine Eigenart hat,</w:t>
      </w:r>
    </w:p>
    <w:p>
      <w:pPr>
        <w:ind w:left="420"/>
      </w:pPr>
      <w:r>
        <w:t xml:space="preserve">3. das Design vom Designschutz nach § 3 ausgeschlossen ist.</w:t>
      </w:r>
    </w:p>
    <w:p>
      <w:r>
        <w:t xml:space="preserve">(2) Ein eingetragenes Design wird für nichtig erklärt, wenn</w:t>
      </w:r>
    </w:p>
    <w:p>
      <w:pPr>
        <w:ind w:left="420"/>
      </w:pPr>
      <w:r>
        <w:t xml:space="preserve">1. es eine unerlaubte Benutzung eines durch das Urheberrecht geschützten Werkes darstellt,</w:t>
      </w:r>
    </w:p>
    <w:p>
      <w:pPr>
        <w:ind w:left="420"/>
      </w:pPr>
      <w:r>
        <w:t xml:space="preserve">2. es in den Schutzumfang eines eingetragenen Designs mit älterem Zeitrang fällt, auch wenn dieses eingetragene Design erst nach dem Anmeldetag des für nichtig zu erklärenden eingetragenen Designs offenbart wurde,</w:t>
      </w:r>
    </w:p>
    <w:p>
      <w:pPr>
        <w:ind w:left="420"/>
      </w:pPr>
      <w:r>
        <w:t xml:space="preserve">3. in ihm ein Zeichen mit Unterscheidungskraft älteren Zeitrangs verwendet wird und der Inhaber des Zeichens berechtigt ist, die Verwendung zu untersagen.</w:t>
      </w:r>
    </w:p>
    <w:p>
      <w:r>
        <w:t xml:space="preserve">(3) Die Nichtigkeit wird durch Beschluss des Deutschen Patent- und Markenamts oder durch Urteil auf Grund Widerklage im Verletzungsverfahren festgestellt oder erklärt.</w:t>
      </w:r>
    </w:p>
    <w:p>
      <w:r>
        <w:t xml:space="preserve">(4) Die Schutzwirkungen der Eintragung eines Designs gelten mit Unanfechtbarkeit des Beschlusses des Deutschen Patent- und Markenamts oder der Rechtskraft des Urteils, mit dem die Nichtigkeit festgestellt oder erklärt wird, als von Anfang an nicht eingetreten.</w:t>
      </w:r>
    </w:p>
    <w:p>
      <w:r>
        <w:t xml:space="preserve">(5) Die Nichtigkeit kann auch nach Beendigung der Schutzdauer des eingetragenen Designs oder nach einem Verzicht auf das eingetragene Design festgestellt oder erklärt werden.</w:t>
      </w:r>
    </w:p>
    <w:p>
      <w:r>
        <w:t xml:space="preserve">(6) Der Inhaber des eingetragenen Designs kann in den Fällen der Nichtigkeit nach den Absätzen 1 und 2 durch Erklärung gegenüber dem Deutschen Patent- und Markenamt in die Löschung einwilligen. Die Schutzwirkungen der Eintragung eines zu löschenden Designs gelten als von Anfang an nicht eingetreten.</w:t>
      </w:r>
    </w:p>
    <w:p>
      <w:r>
        <w:rPr>
          <w:color w:val="555555"/>
          <w:sz w:val="17"/>
        </w:rPr>
        <w:t xml:space="preserve">Zitiervorschlag: § 33 GeschmMG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https://recht.nulegal.eu/gesetze/GeschmMG%202004/33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