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GeschmMG 2004 — Rechtsnachfolge</w:t>
      </w:r>
    </w:p>
    <w:p>
      <w:r>
        <w:rPr>
          <w:color w:val="555555"/>
          <w:sz w:val="18"/>
        </w:rPr>
        <w:t xml:space="preserve">Designgesetz</w:t>
      </w:r>
    </w:p>
    <w:p>
      <w:r>
        <w:rPr>
          <w:color w:val="555555"/>
          <w:sz w:val="18"/>
        </w:rPr>
        <w:t xml:space="preserve">Stand: 10.06.2019 (konsolidierte Textfassung, kein amtliches Inkrafttretensdatum)</w:t>
      </w:r>
    </w:p>
    <w:p>
      <w:r>
        <w:t xml:space="preserve">(1) Das Recht an einem eingetragenen Design kann auf andere übertragen werden oder übergehen.</w:t>
      </w:r>
    </w:p>
    <w:p>
      <w:r>
        <w:t xml:space="preserve">(2) Gehört das eingetragene Design zu einem Unternehmen oder zu einem Teil eines Unternehmens, so wird das eingetragene Design im Zweifel von der Übertragung oder dem Übergang des Unternehmens oder des Teils des Unternehmens, zu dem das eingetragene Design gehört, erfasst.</w:t>
      </w:r>
    </w:p>
    <w:p>
      <w:r>
        <w:t xml:space="preserve">(3) Der Übergang des Rechts an dem eingetragenen Design wird auf Antrag des Rechtsinhabers oder des Rechtsnachfolgers in das Register eingetragen, wenn er dem Deutschen Patent- und Markenamt nachgewiesen wird.</w:t>
      </w:r>
    </w:p>
    <w:p>
      <w:r>
        <w:rPr>
          <w:color w:val="555555"/>
          <w:sz w:val="17"/>
        </w:rPr>
        <w:t xml:space="preserve">Zitiervorschlag: § 29 GeschmMG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https://recht.nulegal.eu/gesetze/GeschmMG%202004/29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