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GeschStV (Bayern) — Vorlage</w:t>
      </w:r>
    </w:p>
    <w:p>
      <w:r>
        <w:rPr>
          <w:color w:val="555555"/>
          <w:sz w:val="18"/>
        </w:rPr>
        <w:t xml:space="preserve">Geschäftsstellenverordnung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 den Aufgaben der Geschäftsstelle nach § 5 Abs. 1 oder 2 betrauten Bediensteten haben die von ihnen wahrzunehmenden Geschäfte der Beamtin oder dem Beamten der Fachlaufbahn Justiz mit Einstieg in der dritten Qualifikationsebene oder erworbener Qualifizierung für ein Amt der Besoldungsgruppe A 10 oder höher vorzulegen, wenn dies mit Rücksicht auf rechtliche oder tatsächliche Schwierigkeiten erforderlich erscheint. Diese Beamtin oder dieser Beamte kann die Bearbeitung selbst übernehmen oder Weisungen für die Bearbeitung erteilen.</w:t>
      </w:r>
    </w:p>
    <w:p>
      <w:r>
        <w:rPr>
          <w:color w:val="555555"/>
          <w:sz w:val="17"/>
        </w:rPr>
        <w:t xml:space="preserve">Zitiervorschlag: § 8 GeschStV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https://recht.nulegal.eu/gesetze/GeschStV/8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