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GeschStV (Bayern) — Gruppenleiter, weitere Gruppenleiter</w:t>
      </w:r>
    </w:p>
    <w:p>
      <w:r>
        <w:rPr>
          <w:color w:val="555555"/>
          <w:sz w:val="18"/>
        </w:rPr>
        <w:t xml:space="preserve">Geschäftsstellenverordnung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Einer Gruppe der Geschäftsstelle steht eine Beamtin oder ein Beamter im Sinn des § 2 Abs. 1 Satz 1 als Gruppenleiterin oder Gruppenleiter vor. Diese sind Vorgesetzte aller Angehörigen ihrer Gruppe. Sofern ihrer Bestellung eine Ausschreibung vorausgeht, gelten § 2 Abs. 2 Sätze 1 und 2 entsprechend.</w:t>
      </w:r>
    </w:p>
    <w:p>
      <w:r>
        <w:t xml:space="preserve">(2) Einer Untergruppe der Geschäftsstelle steht eine Beamtin oder ein Beamter im Sinn des § 2 Abs. 1 Satz 1 als weitere Gruppenleiterin oder weiterer Gruppenleiter vor. Diese sind Vorgesetzte aller Angehörigen ihrer Untergruppe und werden durch die Behördenleitung bestellt. Andere Formen der Leitung der Untergruppe kann die Behördenleitung vorsehen.</w:t>
      </w:r>
    </w:p>
    <w:p>
      <w:r>
        <w:t xml:space="preserve">(3) Gruppenleiterinnen und Gruppenleiter sowie weitere Gruppenleiterinnen und weitere Gruppenleiter sind für den reibungslosen Ablauf des Dienstbetriebs und die ordnungsgemäße Erledigung der Dienstgeschäfte in ihrer Gruppe bzw. Untergruppe verantwortlich. § 2 Abs. 3 Satz 2 gilt entsprechend, für die weiteren Gruppenleiter mit Ausnahme der Nrn. 3 und 5.</w:t>
      </w:r>
    </w:p>
    <w:p>
      <w:r>
        <w:t xml:space="preserve">(4) Über Einwendungen gegen Anordnungen der Gruppenleiterin oder des Gruppenleiters entscheidet die Dienst- bzw. Geschäftsleitung; über Einwendungen gegen Anordnungen der weiteren Gruppenleiterin oder des weiteren Gruppenleiters entscheidet die Gruppenleiterin oder der Gruppenleiter. Die Anordnungen gelten bis zur Entscheidung der nächst höheren Stelle weiter.</w:t>
      </w:r>
    </w:p>
    <w:p>
      <w:r>
        <w:rPr>
          <w:color w:val="555555"/>
          <w:sz w:val="17"/>
        </w:rPr>
        <w:t xml:space="preserve">Zitiervorschlag: § 3 GeschStV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https://recht.nulegal.eu/gesetze/GeschStV/3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