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GeschOVfGH (Bayern)</w:t>
      </w:r>
    </w:p>
    <w:p>
      <w:r>
        <w:rPr>
          <w:color w:val="555555"/>
          <w:sz w:val="18"/>
        </w:rPr>
        <w:t xml:space="preserve">Geschäftsordnung des Bayerischen Verfassungsgerichtshofs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18. Dezember 1990</w:t>
      </w:r>
    </w:p>
    <w:p>
      <w:r>
        <w:t xml:space="preserve">Der Präsident des Bayerischen Verfassungsgerichtshofs</w:t>
      </w:r>
    </w:p>
    <w:p>
      <w:r>
        <w:t xml:space="preserve">Dr. Parsch</w:t>
      </w:r>
    </w:p>
    <w:p>
      <w:r>
        <w:rPr>
          <w:color w:val="555555"/>
          <w:sz w:val="17"/>
        </w:rPr>
        <w:t xml:space="preserve">Zitiervorschlag: Schlussformel GeschOVfGH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https://recht.nulegal.eu/gesetze/GeschOVfGH/schlussformel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