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GeschOVfGH (Bayern)</w:t>
      </w:r>
    </w:p>
    <w:p>
      <w:r>
        <w:rPr>
          <w:color w:val="555555"/>
          <w:sz w:val="18"/>
        </w:rPr>
        <w:t xml:space="preserve">Geschäftsordnung des Bayerischen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30 Abs. 2 des Gesetzes über den Bayerischen Verfassungsgerichtshof (VfGHG) vom 10. Mai 1990 (GVBl S. 122, ber. S. 231, BayRS 1103-1-S) erläßt das Berufsrichterplenum des Verfassungsgerichtshofs folgende Geschäftsordnung:</w:t>
      </w:r>
    </w:p>
    <w:p>
      <w:r>
        <w:rPr>
          <w:color w:val="555555"/>
          <w:sz w:val="17"/>
        </w:rPr>
        <w:t xml:space="preserve">Zitiervorschlag: Eingangsformel GeschOVfGH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https://recht.nulegal.eu/gesetze/GeschOVfGH/eingangsformel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