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GeschOVfGH (Bayern) — Amtstracht</w:t>
      </w:r>
    </w:p>
    <w:p>
      <w:r>
        <w:rPr>
          <w:color w:val="555555"/>
          <w:sz w:val="18"/>
        </w:rPr>
        <w:t xml:space="preserve">Geschäftsordnung des Bayerischen Verfassungsgerichtshofs</w:t>
      </w:r>
    </w:p>
    <w:p>
      <w:r>
        <w:rPr>
          <w:color w:val="555555"/>
          <w:sz w:val="18"/>
        </w:rPr>
        <w:t xml:space="preserve">Landesrecht Bayern</w:t>
      </w:r>
    </w:p>
    <w:p>
      <w:r>
        <w:rPr>
          <w:color w:val="555555"/>
          <w:sz w:val="18"/>
        </w:rPr>
        <w:t xml:space="preserve">Stand: 25.08.2026 (konsolidierte Textfassung, kein amtliches Inkrafttretensdatum)</w:t>
      </w:r>
    </w:p>
    <w:p>
      <w:r>
        <w:t xml:space="preserve">Die Mitglieder des Verfassungsgerichtshofs tragen in den zur mündlichen Verhandlung und zur Verkündung bestimmten Sitzungen eine Robe aus blauem Stoff mit dunkelblauem Samtbesatz. Richterinnen tragen eine weiße Bluse, Richter ein weißes Hemd und einen weißen Binder. Die Regelung gilt entsprechend für den Schriftführer.</w:t>
      </w:r>
    </w:p>
    <w:p>
      <w:r>
        <w:rPr>
          <w:color w:val="555555"/>
          <w:sz w:val="17"/>
        </w:rPr>
        <w:t xml:space="preserve">Zitiervorschlag: § 7 GeschOVfGH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https://recht.nulegal.eu/gesetze/GeschOVfGH/7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