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GeschOVfGH (Bayern) — Sondervotum</w:t>
      </w:r>
    </w:p>
    <w:p>
      <w:r>
        <w:rPr>
          <w:color w:val="555555"/>
          <w:sz w:val="18"/>
        </w:rPr>
        <w:t xml:space="preserve">Geschäftsordnung des Bayerischen Verfassungsgerichtshofs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Ein Richter, der ein Sondervotum abgeben will, soll diese Absicht der Spruchgruppe sobald wie möglich, spätestens unmittelbar vor der Unterzeichnung der Entscheidung durch die mitwirkenden Richter, mitteilen.</w:t>
      </w:r>
    </w:p>
    <w:p>
      <w:r>
        <w:t xml:space="preserve">(2) Das Sondervotum ist dem Vorsitzenden der Spruchgruppe binnen drei Wochen nach Bekanntmachung der Entscheidung vorzulegen. Der Vorsitzende kann die Frist auf Antrag um weitere drei Wochen verlängern.</w:t>
      </w:r>
    </w:p>
    <w:p>
      <w:r>
        <w:rPr>
          <w:color w:val="555555"/>
          <w:sz w:val="17"/>
        </w:rPr>
        <w:t xml:space="preserve">Zitiervorschlag: § 5 GeschOVfGH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https://recht.nulegal.eu/gesetze/GeschOVfGH/5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