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GeschOVfGH (Bayern) — Tonaufnahme der mündlichen Verhandlung</w:t>
      </w:r>
    </w:p>
    <w:p>
      <w:r>
        <w:rPr>
          <w:color w:val="555555"/>
          <w:sz w:val="18"/>
        </w:rPr>
        <w:t xml:space="preserve">Geschäftsordnung des Bayerischen Verfassungsgerichtshofs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Verfassungsgerichtshof kann die mündliche Verhandlung in einer Tonaufnahme festhalten. Die Aufnahme steht den Richtern, dem Schriftführer (Art. 22 Abs. 5 Satz 2 VfGHG) und den Verfahrensbeteiligten zum Abhören im Gericht zur Verfügung. Überspielungen und private Übertragungen sind unzulässig. Die Aufnahme kann nach Abschluß des Verfahrens gelöscht werden.</w:t>
      </w:r>
    </w:p>
    <w:p>
      <w:r>
        <w:rPr>
          <w:color w:val="555555"/>
          <w:sz w:val="17"/>
        </w:rPr>
        <w:t xml:space="preserve">Zitiervorschlag: § 4 GeschOVfGH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https://recht.nulegal.eu/gesetze/GeschOVfGH/4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