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GeschOVfGH (Bayern) — Wissenschaftliche Mitarbeiter</w:t>
      </w:r>
    </w:p>
    <w:p>
      <w:r>
        <w:rPr>
          <w:color w:val="555555"/>
          <w:sz w:val="18"/>
        </w:rPr>
        <w:t xml:space="preserve">Geschäftsordnung des Bayerischen Verfassungsgerichtshofs</w:t>
      </w:r>
    </w:p>
    <w:p>
      <w:r>
        <w:rPr>
          <w:color w:val="555555"/>
          <w:sz w:val="18"/>
        </w:rPr>
        <w:t xml:space="preserve">Landesrecht Bayern</w:t>
      </w:r>
    </w:p>
    <w:p>
      <w:r>
        <w:rPr>
          <w:color w:val="555555"/>
          <w:sz w:val="18"/>
        </w:rPr>
        <w:t xml:space="preserve">Stand: 25.08.2026 (konsolidierte Textfassung, kein amtliches Inkrafttretensdatum)</w:t>
      </w:r>
    </w:p>
    <w:p>
      <w:r>
        <w:t xml:space="preserve">Der Verfassungsgerichtshof kann durch einen oder mehrere wissenschaftliche Mitarbeiter unterstützt werden. Diese unterstützen die Berichterstatter (Art. 21 VfGHG) durch Vorarbeiten zu Entscheidungsentwürfen. Über ihre Zuweisung zu einzelnen Berichterstattern bestimmt der Präsident.</w:t>
      </w:r>
    </w:p>
    <w:p>
      <w:r>
        <w:rPr>
          <w:color w:val="555555"/>
          <w:sz w:val="17"/>
        </w:rPr>
        <w:t xml:space="preserve">Zitiervorschlag: § 2 GeschOVfGH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https://recht.nulegal.eu/gesetze/GeschOVfGH/2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