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GeschOVfGH (Bayern) — Berufsrichterplenum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Berufsrichterplenunm (Art. 3 Abs. 6 VfGHG) obliegen die Aufgaben, die ihm Kraft Gesetzes (Art. 10 Abs. 1 Satz 1 und Art. 30 Abs. 2 Satz 1 VfGHG) zugewiesen sind. Außerdem befaßt es sich mit allgemeinen Fragen der Tätigkeit des Verfassungsgerichtshofs.</w:t>
      </w:r>
    </w:p>
    <w:p>
      <w:r>
        <w:t xml:space="preserve">(2) Das Berufsrichterplenum wird vom Präsidenten nach Bedarf unter Mitteilung der Tagesordnung einberufen.</w:t>
      </w:r>
    </w:p>
    <w:p>
      <w:r>
        <w:t xml:space="preserve">(3) Der Präsident beruft das Berufsrichterplenum ein, wenn es mindestens sechs berufsrichterliche Mitglieder unter Angabe des Beratungsgegenstandes verlangen.</w:t>
      </w:r>
    </w:p>
    <w:p>
      <w:r>
        <w:rPr>
          <w:color w:val="555555"/>
          <w:sz w:val="17"/>
        </w:rPr>
        <w:t xml:space="preserve">Zitiervorschlag: § 1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