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GeschGehG — Auskunft über rechtsverletzende Produkte; Schadensersatz bei Verletzung der Auskunftspflicht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des Geschäftsgeheimnisses kann vom Rechtsverletzer Auskunft über Folgendes verlangen:</w:t>
      </w:r>
    </w:p>
    <w:p>
      <w:pPr>
        <w:ind w:left="420"/>
      </w:pPr>
      <w:r>
        <w:t xml:space="preserve">1. Name und Anschrift der Hersteller, Lieferanten und anderer Vorbesitzer der rechtsverletzenden Produkte sowie der gewerblichen Abnehmer und Verkaufsstellen, für die sie bestimmt waren,</w:t>
      </w:r>
    </w:p>
    <w:p>
      <w:pPr>
        <w:ind w:left="420"/>
      </w:pPr>
      <w:r>
        <w:t xml:space="preserve">2. die Menge der hergestellten, bestellten, ausgelieferten oder erhaltenen rechtsverletzenden Produkte sowie über die Kaufpreise,</w:t>
      </w:r>
    </w:p>
    <w:p>
      <w:pPr>
        <w:ind w:left="420"/>
      </w:pPr>
      <w:r>
        <w:t xml:space="preserve">3. diejenigen im Besitz oder Eigentum des Rechtsverletzers stehenden Dokumente, Gegenstände, Materialien, Stoffe oder elektronischen Dateien, die das Geschäftsgeheimnis enthalten oder verkörpern, und</w:t>
      </w:r>
    </w:p>
    <w:p>
      <w:pPr>
        <w:ind w:left="420"/>
      </w:pPr>
      <w:r>
        <w:t xml:space="preserve">4. die Person, von der sie das Geschäftsgeheimnis erlangt haben und der gegenüber sie es offenbart haben.</w:t>
      </w:r>
    </w:p>
    <w:p>
      <w:r>
        <w:t xml:space="preserve">(2) Erteilt der Rechtsverletzer vorsätzlich oder grob fahrlässig die Auskunft nicht, verspätet, falsch oder unvollständig, ist er dem Inhaber des Geschäftsgeheimnisses zum Ersatz des daraus entstehenden Schadens verpflichtet.</w:t>
      </w:r>
    </w:p>
    <w:p>
      <w:r>
        <w:rPr>
          <w:color w:val="555555"/>
          <w:sz w:val="17"/>
        </w:rPr>
        <w:t xml:space="preserve">Zitiervorschlag: § 8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