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GeschGehG — Vernichtung; Herausgabe; Rückruf; Entfernung und Rücknahme vom Markt</w:t>
      </w:r>
    </w:p>
    <w:p>
      <w:r>
        <w:rPr>
          <w:color w:val="555555"/>
          <w:sz w:val="18"/>
        </w:rPr>
        <w:t xml:space="preserve">Gesetz zum Schutz von Geschäftsgeheimnissen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Inhaber des Geschäftsgeheimnisses kann den Rechtsverletzer auch in Anspruch nehmen auf</w:t>
      </w:r>
    </w:p>
    <w:p>
      <w:pPr>
        <w:ind w:left="420"/>
      </w:pPr>
      <w:r>
        <w:t xml:space="preserve">1. Vernichtung oder Herausgabe der im Besitz oder Eigentum des Rechtsverletzers stehenden Dokumente, Gegenstände, Materialien, Stoffe oder elektronischen Dateien, die das Geschäftsgeheimnis enthalten oder verkörpern,</w:t>
      </w:r>
    </w:p>
    <w:p>
      <w:pPr>
        <w:ind w:left="420"/>
      </w:pPr>
      <w:r>
        <w:t xml:space="preserve">2. Rückruf des rechtsverletzenden Produkts,</w:t>
      </w:r>
    </w:p>
    <w:p>
      <w:pPr>
        <w:ind w:left="420"/>
      </w:pPr>
      <w:r>
        <w:t xml:space="preserve">3. dauerhafte Entfernung der rechtsverletzenden Produkte aus den Vertriebswegen,</w:t>
      </w:r>
    </w:p>
    <w:p>
      <w:pPr>
        <w:ind w:left="420"/>
      </w:pPr>
      <w:r>
        <w:t xml:space="preserve">4. Vernichtung der rechtsverletzenden Produkte oder</w:t>
      </w:r>
    </w:p>
    <w:p>
      <w:pPr>
        <w:ind w:left="420"/>
      </w:pPr>
      <w:r>
        <w:t xml:space="preserve">5. Rücknahme der rechtsverletzenden Produkte vom Markt, wenn der Schutz des Geschäftsgeheimnisses hierdurch nicht beeinträchtigt wird.</w:t>
      </w:r>
    </w:p>
    <w:p>
      <w:r>
        <w:rPr>
          <w:color w:val="555555"/>
          <w:sz w:val="17"/>
        </w:rPr>
        <w:t xml:space="preserve">Zitiervorschlag: § 7 GeschGehG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https://recht.nulegal.eu/gesetze/GeschGehG/7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