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GeschGehG — Ausnahmen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Erlangung, die Nutzung oder die Offenlegung eines Geschäftsgeheimnisses fällt nicht unter die Verbote des § 4, wenn dies zum Schutz eines berechtigten Interesses erfolgt, insbesondere</w:t>
      </w:r>
    </w:p>
    <w:p>
      <w:pPr>
        <w:ind w:left="420"/>
      </w:pPr>
      <w:r>
        <w:t xml:space="preserve">1. zur Ausübung des Rechts der freien Meinungsäußerung und der Informationsfreiheit, einschließlich der Achtung der Freiheit und der Pluralität der Medien;</w:t>
      </w:r>
    </w:p>
    <w:p>
      <w:pPr>
        <w:ind w:left="420"/>
      </w:pPr>
      <w:r>
        <w:t xml:space="preserve">2. zur Aufdeckung einer rechtswidrigen Handlung oder eines beruflichen oder sonstigen Fehlverhaltens, wenn die Erlangung, Nutzung oder Offenlegung geeignet ist, das allgemeine öffentliche Interesse zu schützen;</w:t>
      </w:r>
    </w:p>
    <w:p>
      <w:pPr>
        <w:ind w:left="420"/>
      </w:pPr>
      <w:r>
        <w:t xml:space="preserve">3. im Rahmen der Offenlegung durch Arbeitnehmer gegenüber der Arbeitnehmervertretung, wenn dies erforderlich ist, damit die Arbeitnehmervertretung ihre Aufgaben erfüllen kann.</w:t>
      </w:r>
    </w:p>
    <w:p>
      <w:r>
        <w:rPr>
          <w:color w:val="555555"/>
          <w:sz w:val="17"/>
        </w:rPr>
        <w:t xml:space="preserve">Zitiervorschlag: § 5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