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GeschGehG — Begriffsbestimmungen</w:t>
      </w:r>
    </w:p>
    <w:p>
      <w:r>
        <w:rPr>
          <w:color w:val="555555"/>
          <w:sz w:val="18"/>
        </w:rPr>
        <w:t xml:space="preserve">Gesetz zum Schutz von Geschäftsgeheimnissen</w:t>
      </w:r>
    </w:p>
    <w:p>
      <w:r>
        <w:rPr>
          <w:color w:val="555555"/>
          <w:sz w:val="18"/>
        </w:rPr>
        <w:t xml:space="preserve">Stand: 10.06.2019 (konsolidierte Textfassung, kein amtliches Inkrafttretensdatum)</w:t>
      </w:r>
    </w:p>
    <w:p>
      <w:r>
        <w:t xml:space="preserve">Im Sinne dieses Gesetzes ist</w:t>
      </w:r>
    </w:p>
    <w:p>
      <w:pPr>
        <w:ind w:left="420"/>
      </w:pPr>
      <w:r>
        <w:t xml:space="preserve">1. Geschäftsgeheimnis eine Information</w:t>
      </w:r>
    </w:p>
    <w:p>
      <w:pPr>
        <w:ind w:left="780"/>
      </w:pPr>
      <w:r>
        <w:t xml:space="preserve">a) die weder insgesamt noch in der genauen Anordnung und Zusammensetzung ihrer Bestandteile den Personen in den Kreisen, die üblicherweise mit dieser Art von Informationen umgehen, allgemein bekannt oder ohne Weiteres zugänglich ist und daher von wirtschaftlichem Wert ist und</w:t>
      </w:r>
    </w:p>
    <w:p>
      <w:pPr>
        <w:ind w:left="780"/>
      </w:pPr>
      <w:r>
        <w:t xml:space="preserve">b) die Gegenstand von den Umständen nach angemessenen Geheimhaltungsmaßnahmen durch ihren rechtmäßigen Inhaber ist und</w:t>
      </w:r>
    </w:p>
    <w:p>
      <w:pPr>
        <w:ind w:left="780"/>
      </w:pPr>
      <w:r>
        <w:t xml:space="preserve">c) bei der ein berechtigtes Interesse an der Geheimhaltung besteht;</w:t>
      </w:r>
    </w:p>
    <w:p>
      <w:pPr>
        <w:ind w:left="420"/>
      </w:pPr>
      <w:r>
        <w:t xml:space="preserve">2. Inhaber eines Geschäftsgeheimnisses jede natürliche oder juristische Person, die die rechtmäßige Kontrolle über ein Geschäftsgeheimnis hat;</w:t>
      </w:r>
    </w:p>
    <w:p>
      <w:pPr>
        <w:ind w:left="420"/>
      </w:pPr>
      <w:r>
        <w:t xml:space="preserve">3. Rechtsverletzer jede natürliche oder juristische Person, die entgegen § 4 ein Geschäftsgeheimnis rechtswidrig erlangt, nutzt oder offenlegt; Rechtsverletzer ist nicht, wer sich auf eine Ausnahme nach § 5 berufen kann;</w:t>
      </w:r>
    </w:p>
    <w:p>
      <w:pPr>
        <w:ind w:left="420"/>
      </w:pPr>
      <w:r>
        <w:t xml:space="preserve">4. rechtsverletzendes Produkt ein Produkt, dessen Konzeption, Merkmale, Funktionsweise, Herstellungsprozess oder Marketing in erheblichem Umfang auf einem rechtswidrig erlangten, genutzten oder offengelegten Geschäftsgeheimnis beruht.</w:t>
      </w:r>
    </w:p>
    <w:p>
      <w:r>
        <w:rPr>
          <w:color w:val="555555"/>
          <w:sz w:val="17"/>
        </w:rPr>
        <w:t xml:space="preserve">Zitiervorschlag: § 2 GeschGehG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https://recht.nulegal.eu/gesetze/GeschGehG/2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